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Function_2_Week_8_Analysis</w:t>
      </w:r>
    </w:p>
    <w:p>
      <w:pPr>
        <w:pStyle w:val="Heading2"/>
      </w:pPr>
      <w:r>
        <w:t>Executive Summary</w:t>
      </w:r>
    </w:p>
    <w:p>
      <w:r>
        <w:t>Week 8 diagnostics indicate a healthy, model-driven optimisation cycle for Function 2. Expected Improvement (EI) and Upper Confidence Bound (UCB) histograms show narrow but non-flat spreads, the PCA cluster view contains two clearly separated clusters, and the top-5 proposals vary along both x1 and x2. Diversity is low—as expected near a ridge apex—but non-zero, confirming the surrogate can still discriminate candidates. Compared to Week 6, the optimiser has shifted from the x2≈0.35 corridor to the high-x2 flank (≈0.98–1.00), which aligns with the surrogate’s belief that the ridge rises at high x2.</w:t>
      </w:r>
    </w:p>
    <w:p>
      <w:pPr>
        <w:pStyle w:val="Heading2"/>
      </w:pPr>
      <w:r>
        <w:t>Evidence from Week 8 Charts (function 2 wk8)</w:t>
      </w:r>
    </w:p>
    <w:p>
      <w:pPr>
        <w:pStyle w:val="ListBullet"/>
      </w:pPr>
      <w:r>
        <w:t>EI histogram shows multiple distinct bars (≈ 0.0692–0.0708), indicating non-degenerate acquisition scores.</w:t>
      </w:r>
    </w:p>
    <w:p>
      <w:pPr>
        <w:pStyle w:val="ListBullet"/>
      </w:pPr>
      <w:r>
        <w:t>UCB histogram spans ≈ 2.535–2.575, again non-flat, confirming usable posterior variance.</w:t>
      </w:r>
    </w:p>
    <w:p>
      <w:pPr>
        <w:pStyle w:val="ListBullet"/>
      </w:pPr>
      <w:r>
        <w:t>Top‑K candidate means: x1≈0.688, x2≈0.99; Top‑K stds: x1≈0.003, x2≈0.007; mean pairwise distance≈0.0114.</w:t>
      </w:r>
    </w:p>
    <w:p>
      <w:pPr>
        <w:pStyle w:val="ListBullet"/>
      </w:pPr>
      <w:r>
        <w:t>ARD sensitivities: dim1 sens≈19.7492 (rel=1.000, keep=True), dim2 sens≈0.4785 (rel≈0.024, keep=False) — x1 dominant, x2 weak.</w:t>
      </w:r>
    </w:p>
    <w:p>
      <w:pPr>
        <w:pStyle w:val="ListBullet"/>
      </w:pPr>
      <w:r>
        <w:t>PCA→2D + KMeans shows two clusters with separation, not a single micro‑cluster.</w:t>
      </w:r>
    </w:p>
    <w:p>
      <w:pPr>
        <w:pStyle w:val="Heading2"/>
      </w:pPr>
      <w:r>
        <w:t>Comparison with Week 6 (Function_2_Week_6_Analysis)</w:t>
      </w:r>
    </w:p>
    <w:p>
      <w:r>
        <w:t>Week 6 established a narrow ridge around x1≈0.68 and x2≈0.30–0.40 with the then‑best point at 0.681244–0.349005 (Y≈0.5997). Week 8 metrics show the search has migrated toward the high‑x2 flank (≈0.98–1.00) while preserving refinement along x1≈0.68–0.69. This evolution is consistent with a surrogate that has learned the ridge orientation and is now pursuing its higher section at larger x2.</w:t>
      </w:r>
    </w:p>
    <w:p>
      <w:pPr>
        <w:pStyle w:val="Heading2"/>
      </w:pPr>
      <w:r>
        <w:t>Effectiveness of the Current Strategy</w:t>
      </w:r>
    </w:p>
    <w:p>
      <w:r>
        <w:t>Given that EI/UCB remain discriminative and diversity is non-zero, standard BO remains the appropriate strategy for Function 2. A full Min–Max (farthest‑point) override is not recommended here because it would discard exploitable model structure during the final refinement phase. The present configuration—no SVM gating, ARD screen disabled or threshold reduced, large global pool, and a soft trust‑region—supports both coverage and refinement without inducing collapse.</w:t>
      </w:r>
    </w:p>
    <w:p>
      <w:pPr>
        <w:pStyle w:val="Heading2"/>
      </w:pPr>
      <w:r>
        <w:t>Assessment of the New Query Point</w:t>
      </w:r>
    </w:p>
    <w:p>
      <w:r>
        <w:t>The top‑1 proposal in Week 8 lies near (x1≈0.689, x2≈0.999). This location is coherent with the observed upward trend along x2 from Week 6 to Week 8 and sits on the high‑EI, high‑UCB flank. Selecting this point is likely to provide incremental improvement or confirm the ridge’s ascent toward x2→1.0.</w:t>
      </w:r>
    </w:p>
    <w:p>
      <w:pPr>
        <w:pStyle w:val="Heading2"/>
      </w:pPr>
      <w:r>
        <w:t>Recommendations for Final Submissions</w:t>
      </w:r>
    </w:p>
    <w:p>
      <w:pPr>
        <w:pStyle w:val="ListBullet"/>
      </w:pPr>
      <w:r>
        <w:t>Maintain EI/UCB‑driven selection for Function 2; do not switch to Min–Max.</w:t>
      </w:r>
    </w:p>
    <w:p>
      <w:pPr>
        <w:pStyle w:val="ListBullet"/>
      </w:pPr>
      <w:r>
        <w:t>Keep use_svm=False and use_feature_screen=False (or a low ard_rel_threshold) to avoid artificial masking and gating.</w:t>
      </w:r>
    </w:p>
    <w:p>
      <w:pPr>
        <w:pStyle w:val="ListBullet"/>
      </w:pPr>
      <w:r>
        <w:t>Retain a large global pool (n_global_factor≈10,000) and a small trust_radius_base (≈0.01) to balance exploration and refinement.</w:t>
      </w:r>
    </w:p>
    <w:p>
      <w:pPr>
        <w:pStyle w:val="ListBullet"/>
      </w:pPr>
      <w:r>
        <w:t>Optionally set perturb_rate_base≈0.04 to encourage micro‑diversity without abandoning the BO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