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Function_3_Week_8_Analysis</w:t>
      </w:r>
    </w:p>
    <w:p>
      <w:pPr>
        <w:pStyle w:val="Heading2"/>
      </w:pPr>
      <w:r>
        <w:t>Executive summary</w:t>
      </w:r>
    </w:p>
    <w:p>
      <w:r>
        <w:t>• Strategy effectiveness this week was constrained by ARD pruning that made the search effectively 1‑D along x3.</w:t>
        <w:br/>
        <w:t>• Despite exploratory settings (higher ξ and κ), the candidate pool only partly recovered diversity; EI was nearly flat and UCB drove selection.</w:t>
        <w:br/>
        <w:t>• The new query point performed poorly (negative Y), signalling model over‑confidence in a narrow region and the need to restore exploration breadth.</w:t>
        <w:br/>
      </w:r>
    </w:p>
    <w:p>
      <w:pPr>
        <w:pStyle w:val="Heading2"/>
      </w:pPr>
      <w:r>
        <w:t>What the Week‑8 charts and logs show</w:t>
      </w:r>
    </w:p>
    <w:p>
      <w:r>
        <w:rPr>
          <w:b/>
        </w:rPr>
        <w:t xml:space="preserve">ARD sensitivities (abs): </w:t>
      </w:r>
      <w:r>
        <w:t>dim 3 ≈ 12.5677 (rel=1.000, keep); dim 1 ≈ 0.3879 (rel≈0.031, drop); dim 2 ≈ 0.3879 (rel≈0.031, drop).</w:t>
      </w:r>
    </w:p>
    <w:p>
      <w:r>
        <w:rPr>
          <w:b/>
        </w:rPr>
        <w:t xml:space="preserve">Diversity metrics: </w:t>
      </w:r>
      <w:r>
        <w:t>per‑dim std ≈ [0.381, 0.289, 0.135]; mean pairwise distance ≈ 0.6151.</w:t>
      </w:r>
    </w:p>
    <w:p>
      <w:r>
        <w:rPr>
          <w:b/>
        </w:rPr>
        <w:t xml:space="preserve">Acquisition shape: </w:t>
      </w:r>
      <w:r>
        <w:t>EI histogram was extremely narrow; UCB showed two bands (~2.2 and ~3.0), so UCB dominated selection decisions.</w:t>
      </w:r>
    </w:p>
    <w:p>
      <w:r>
        <w:rPr>
          <w:b/>
        </w:rPr>
        <w:t xml:space="preserve">Configuration used: </w:t>
      </w:r>
      <w:r>
        <w:t>ξ≈0.07, κ≈3.3, n_global_factor≈3800, trust_radius_base≈0.03; GP surrogate with Y standardization.</w:t>
      </w:r>
    </w:p>
    <w:p>
      <w:pPr>
        <w:pStyle w:val="Heading2"/>
      </w:pPr>
      <w:r>
        <w:t>New query point</w:t>
      </w:r>
    </w:p>
    <w:p>
      <w:r>
        <w:t>Proposed top‑1 query (portal‑formatted) lies near the high corner of the domain; the newly appended sample had coordinates ≈ [0.4750, 0.6278, 0.5287] with observed Y ≈ −0.0194.</w:t>
        <w:br/>
        <w:t>Interpretation: this outcome is weak and indicates the surrogate’s optimism in that vicinity was mis‑calibrated; it strengthens the case for broader exploration next round.</w:t>
      </w:r>
    </w:p>
    <w:p>
      <w:pPr>
        <w:pStyle w:val="Heading2"/>
      </w:pPr>
      <w:r>
        <w:t>Comparison to Week 7</w:t>
      </w:r>
    </w:p>
    <w:p>
      <w:r>
        <w:t>Week 7 showed a healthy pattern: EI concentrated along x3 but the trust region still worked and the new query aligned with the ridge.</w:t>
        <w:br/>
        <w:t>This week that anisotropy tightened too much: x1–x2 were pruned, EI flattened, and the top‑k relied on UCB to separate candidates.</w:t>
      </w:r>
    </w:p>
    <w:p>
      <w:pPr>
        <w:pStyle w:val="Heading2"/>
      </w:pPr>
      <w:r>
        <w:t>Assessment of strategy effectiveness</w:t>
      </w:r>
    </w:p>
    <w:p>
      <w:r>
        <w:t>Partially effective. The pipeline regained some geometric spread (two clusters in PCA space and non‑zero top‑k stds), but ARD pruning and a flat EI surface meant the search acted quasi‑1‑D and leaned on UCB.</w:t>
        <w:br/>
        <w:t>Net effect: exploration occurred, but not broadly enough to challenge the model’s belief about x1–x2, and the realized Y was poor.</w:t>
      </w:r>
    </w:p>
    <w:p>
      <w:pPr>
        <w:pStyle w:val="Heading2"/>
      </w:pPr>
      <w:r>
        <w:t>Recommendations for Week 9</w:t>
      </w:r>
    </w:p>
    <w:p>
      <w:r>
        <w:t>• Temporarily disable feature screening (ARD) or raise its threshold later, so x1–x2 can re‑enter and the EI landscape regains structure.</w:t>
      </w:r>
    </w:p>
    <w:p>
      <w:r>
        <w:t>• Keep 1–2 forced global points in every batch to probe away from the high‑corner basin.</w:t>
      </w:r>
    </w:p>
    <w:p>
      <w:r>
        <w:t>• Slightly widen the trust radius (e.g., 0.03 → 0.05) for Function 3 to reduce re‑clustering along a single ridge.</w:t>
      </w:r>
    </w:p>
    <w:p>
      <w:r>
        <w:t>• Retain Max–Min (farthest‑point) selection in the final step and seed by the highest‑UCB item if you want an extra exploratory nudge.</w:t>
      </w:r>
    </w:p>
    <w:p>
      <w:r>
        <w:t>• Add a final‑set diversity log (min pairwise distance) to confirm the realised spread of the chosen k 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