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F63D" w14:textId="76B3C03F" w:rsidR="00F36F88" w:rsidRDefault="00000000">
      <w:r>
        <w:rPr>
          <w:b/>
          <w:sz w:val="40"/>
        </w:rPr>
        <w:t>Function_</w:t>
      </w:r>
      <w:r w:rsidR="00B13105">
        <w:rPr>
          <w:b/>
          <w:sz w:val="40"/>
        </w:rPr>
        <w:t>4</w:t>
      </w:r>
      <w:r>
        <w:rPr>
          <w:b/>
          <w:sz w:val="40"/>
        </w:rPr>
        <w:t>_Week_8_Analysis</w:t>
      </w:r>
    </w:p>
    <w:p w14:paraId="68606B0F" w14:textId="77777777" w:rsidR="00F36F88" w:rsidRDefault="00000000">
      <w:pPr>
        <w:pStyle w:val="Heading2"/>
      </w:pPr>
      <w:r>
        <w:t>Executive summary</w:t>
      </w:r>
    </w:p>
    <w:p w14:paraId="55F803AD" w14:textId="77777777" w:rsidR="00F36F88" w:rsidRDefault="00000000">
      <w:r>
        <w:t>• Function 4 Week 8 shows ARD keeping x3 and x4 while dropping x1–x2; the search is effectively 2‑D and still anisotropic.</w:t>
      </w:r>
      <w:r>
        <w:br/>
        <w:t>• Diversity within the proposed top‑k is extremely low (per‑dim std ~ [0, 0, 0.008, 0.011], mean pairwise distance ≈ 0.0188), so selection clustered around one locale.</w:t>
      </w:r>
      <w:r>
        <w:br/>
        <w:t>• The new query appended was x ≈ [0.5778, 0.5002, 0.6123, 0.3365] with observed Y ≈ −6.5018 — a weak outcome that signals mis‑calibrated optimism near that region.</w:t>
      </w:r>
      <w:r>
        <w:br/>
      </w:r>
    </w:p>
    <w:p w14:paraId="26B1ECE6" w14:textId="77777777" w:rsidR="00F36F88" w:rsidRDefault="00000000">
      <w:pPr>
        <w:pStyle w:val="Heading2"/>
      </w:pPr>
      <w:r>
        <w:t>Week‑8 charts &amp; logs: what they show</w:t>
      </w:r>
    </w:p>
    <w:p w14:paraId="12DA005C" w14:textId="77777777" w:rsidR="00F36F88" w:rsidRDefault="00000000">
      <w:r>
        <w:rPr>
          <w:b/>
        </w:rPr>
        <w:t xml:space="preserve">ARD sensitivities (abs): </w:t>
      </w:r>
      <w:r>
        <w:t>dim3 ≈ 2.4666 (rel=1.000, keep), dim4 ≈ 1.7834 (rel≈0.723, keep), dim2 ≈ 0.2991 (rel≈0.121, drop), dim1 ≈ 0.2991 (rel≈0.121, drop).</w:t>
      </w:r>
    </w:p>
    <w:p w14:paraId="504C83DE" w14:textId="77777777" w:rsidR="00F36F88" w:rsidRDefault="00000000">
      <w:r>
        <w:rPr>
          <w:b/>
        </w:rPr>
        <w:t xml:space="preserve">Diversity metrics: </w:t>
      </w:r>
      <w:r>
        <w:t>per‑dim std ≈ [0, 0, 0.008, 0.011]; mean pairwise distance ≈ 0.0188; top‑k means near [0.578, 0.500, 0.973, 0.012].</w:t>
      </w:r>
    </w:p>
    <w:p w14:paraId="226BA934" w14:textId="77777777" w:rsidR="00F36F88" w:rsidRDefault="00000000">
      <w:r>
        <w:rPr>
          <w:b/>
        </w:rPr>
        <w:t xml:space="preserve">Acquisition diagnostics: </w:t>
      </w:r>
      <w:r>
        <w:t>EI/UCB histograms were plotted; combined with the diversity collapse and ARD mask, selection concentrated near a single locale.</w:t>
      </w:r>
    </w:p>
    <w:p w14:paraId="1746E34B" w14:textId="77777777" w:rsidR="00F36F88" w:rsidRDefault="00000000">
      <w:r>
        <w:rPr>
          <w:b/>
        </w:rPr>
        <w:t xml:space="preserve">Config highlights: </w:t>
      </w:r>
      <w:r>
        <w:t>ξ≈0.08, κ≈3.4, n_global_factor≈4000; trust_radius_base reported as 0.0 for this run; GP surrogate, Y standardized.</w:t>
      </w:r>
    </w:p>
    <w:p w14:paraId="158A7EF4" w14:textId="77777777" w:rsidR="00F36F88" w:rsidRDefault="00000000">
      <w:pPr>
        <w:pStyle w:val="Heading2"/>
      </w:pPr>
      <w:r>
        <w:t>New query point</w:t>
      </w:r>
    </w:p>
    <w:p w14:paraId="7D350DC9" w14:textId="77777777" w:rsidR="00F36F88" w:rsidRDefault="00000000">
      <w:r>
        <w:t>x_new ≈ [0.577766, 0.500231, 0.612281, 0.336529]; observed y_new ≈ −6.5018.</w:t>
      </w:r>
    </w:p>
    <w:p w14:paraId="775ECC3B" w14:textId="77777777" w:rsidR="00F36F88" w:rsidRDefault="00000000">
      <w:pPr>
        <w:pStyle w:val="Heading2"/>
      </w:pPr>
      <w:r>
        <w:t>Comparison to Week 7</w:t>
      </w:r>
    </w:p>
    <w:p w14:paraId="0ACDE926" w14:textId="77777777" w:rsidR="00F36F88" w:rsidRDefault="00000000">
      <w:r>
        <w:t>Week 7 notes indicated focus on dominant dims (historically x3,x4), EI concentration, and disciplined trust‑region behavior. Week 8 remains x3/x4‑driven but with diversity collapse and a poor new observation, suggesting over‑exploitation within a narrow basin.</w:t>
      </w:r>
    </w:p>
    <w:p w14:paraId="18761812" w14:textId="77777777" w:rsidR="00F36F88" w:rsidRDefault="00000000">
      <w:pPr>
        <w:pStyle w:val="Heading2"/>
      </w:pPr>
      <w:r>
        <w:t>Assessment of strategy effectiveness</w:t>
      </w:r>
    </w:p>
    <w:p w14:paraId="05862609" w14:textId="77777777" w:rsidR="00F36F88" w:rsidRDefault="00000000">
      <w:r>
        <w:t>Partially effective. The pipeline preserved focus on the two informative dimensions (x3,x4) but candidate clustering and a negative outcome show that uncertainty cues did not translate into useful gains. The trust‑region at 0.0 likely reinforced clustering.</w:t>
      </w:r>
    </w:p>
    <w:p w14:paraId="066DE34A" w14:textId="77777777" w:rsidR="00F36F88" w:rsidRDefault="00000000">
      <w:pPr>
        <w:pStyle w:val="Heading2"/>
      </w:pPr>
      <w:r>
        <w:t>Recommendations for Week 9</w:t>
      </w:r>
    </w:p>
    <w:p w14:paraId="40B55451" w14:textId="77777777" w:rsidR="00F36F88" w:rsidRDefault="00000000">
      <w:r>
        <w:t>• Re‑enable breadth: set trust_radius_base to 0.04–0.06 and keep perturbations on to escape the local pocket.</w:t>
      </w:r>
    </w:p>
    <w:p w14:paraId="07707761" w14:textId="77777777" w:rsidR="00F36F88" w:rsidRDefault="00000000">
      <w:r>
        <w:t>• Loosen feature screening for one cycle (or raise ard_rel_threshold later) so x1–x2 receive small but non‑zero variation.</w:t>
      </w:r>
    </w:p>
    <w:p w14:paraId="00A07073" w14:textId="77777777" w:rsidR="00F36F88" w:rsidRDefault="00000000">
      <w:r>
        <w:lastRenderedPageBreak/>
        <w:t>• Keep a hard global floor (≥2 Sobol/LHS points) and apply Max–Min filtering over the buffer to guarantee spread across clusters.</w:t>
      </w:r>
    </w:p>
    <w:p w14:paraId="2606A5B3" w14:textId="77777777" w:rsidR="00F36F88" w:rsidRDefault="00000000">
      <w:r>
        <w:t>• Seed farthest‑point selection from the highest‑UCB item to prioritize uncertainty reduction.</w:t>
      </w:r>
    </w:p>
    <w:p w14:paraId="680F872A" w14:textId="77777777" w:rsidR="00F36F88" w:rsidRDefault="00000000">
      <w:r>
        <w:t>• Add a final‑set diversity log (min pairwise distance) to monitor realised spread week‑to‑week.</w:t>
      </w:r>
    </w:p>
    <w:sectPr w:rsidR="00F36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539905">
    <w:abstractNumId w:val="8"/>
  </w:num>
  <w:num w:numId="2" w16cid:durableId="1929659099">
    <w:abstractNumId w:val="6"/>
  </w:num>
  <w:num w:numId="3" w16cid:durableId="1337462661">
    <w:abstractNumId w:val="5"/>
  </w:num>
  <w:num w:numId="4" w16cid:durableId="557714141">
    <w:abstractNumId w:val="4"/>
  </w:num>
  <w:num w:numId="5" w16cid:durableId="1412197410">
    <w:abstractNumId w:val="7"/>
  </w:num>
  <w:num w:numId="6" w16cid:durableId="105319153">
    <w:abstractNumId w:val="3"/>
  </w:num>
  <w:num w:numId="7" w16cid:durableId="2019500553">
    <w:abstractNumId w:val="2"/>
  </w:num>
  <w:num w:numId="8" w16cid:durableId="2095323372">
    <w:abstractNumId w:val="1"/>
  </w:num>
  <w:num w:numId="9" w16cid:durableId="124429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0BC"/>
    <w:rsid w:val="00AA1D8D"/>
    <w:rsid w:val="00B13105"/>
    <w:rsid w:val="00B47730"/>
    <w:rsid w:val="00CB0664"/>
    <w:rsid w:val="00DE24B2"/>
    <w:rsid w:val="00F36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EE634"/>
  <w14:defaultImageDpi w14:val="300"/>
  <w15:docId w15:val="{B00D6DAB-78BF-430C-BECA-DC417432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2016</Characters>
  <Application>Microsoft Office Word</Application>
  <DocSecurity>0</DocSecurity>
  <Lines>35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3</cp:revision>
  <dcterms:created xsi:type="dcterms:W3CDTF">2013-12-23T23:15:00Z</dcterms:created>
  <dcterms:modified xsi:type="dcterms:W3CDTF">2026-02-18T22:56:00Z</dcterms:modified>
  <cp:category/>
</cp:coreProperties>
</file>