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Function_5_Week_8_Analysis</w:t>
      </w:r>
    </w:p>
    <w:p>
      <w:pPr>
        <w:pStyle w:val="Heading2"/>
      </w:pPr>
      <w:r>
        <w:t>Executive summary</w:t>
      </w:r>
    </w:p>
    <w:p>
      <w:r>
        <w:t>• Strategy effectiveness this week is **high**: the newly appended query delivered a strong improvement (y ≈ 2733.29), consistent with the model focusing on the high-x3/high-x4 ridge.</w:t>
        <w:br/>
        <w:t>• Configuration used combined a **Neural Network surrogate** with **PCA** (var_keep≈0.95), **ξ≈0.01–0.08 range**, **κ≈2.1–3.4 typical**, **n_global_factor≈1600**, and **trust_radius_base≈0.03**; these settings balanced exploration/exploitation while retaining a modest trust-region for local refinement.</w:t>
        <w:br/>
        <w:t>• We did not recover numeric ARD or full diversity histograms from the export, but diagnostics indicate standard ARD/SVM passes were executed, and EI/UCB histograms were plotted.</w:t>
      </w:r>
    </w:p>
    <w:p>
      <w:pPr>
        <w:pStyle w:val="Heading2"/>
      </w:pPr>
      <w:r>
        <w:t>Week‑8 charts &amp; logs: objective read‑out</w:t>
      </w:r>
    </w:p>
    <w:p>
      <w:r>
        <w:t>• **Config**: use_nn=True (ensemble MLP), use_pca=True (pca_var_keep≈0.95), trust_radius_base≈0.03, n_global_factor≈1600; batch_predict_size≈10000; standardize_y=True.</w:t>
        <w:br/>
        <w:t>• **Data growth**: X shape (26,4) → (27,4); Y shape (26,) → (27,).</w:t>
        <w:br/>
        <w:t>• **New query appended**: x_new ≈ [0.822687, 0.384018, 0.991877, 0.999999]; observed y_new ≈ 2733.2932.</w:t>
        <w:br/>
        <w:t>• **Diagnostics available**: ARD sensitivities and SVM gate summaries were executed; EI/UCB histograms and PCA+KMeans cluster plots rendered (values not fully extractable from the HTML bundle).</w:t>
      </w:r>
    </w:p>
    <w:p>
      <w:pPr>
        <w:pStyle w:val="Heading2"/>
      </w:pPr>
      <w:r>
        <w:t>Comparison to Week 7</w:t>
      </w:r>
    </w:p>
    <w:p>
      <w:r>
        <w:t>Week 7 notes indicated that Function 5 was already improving while exploring a high-(x3,x4) ridge, with an appended Y ≈ 2569. Week 8 continues that trend: the new observation ≈ 2733.29 represents a further improvement and remains consistent with the near‑saturation of x3/x4 (x3≈0.992, x4≈0.999999).</w:t>
      </w:r>
    </w:p>
    <w:p>
      <w:pPr>
        <w:pStyle w:val="Heading2"/>
      </w:pPr>
      <w:r>
        <w:t>Assessment of strategy effectiveness</w:t>
      </w:r>
    </w:p>
    <w:p>
      <w:r>
        <w:t>The strategy was **effective** this week. The NN+PCA surrogate, combined with trust‑region sampling and hybrid candidate generation, produced a substantially better Y. While detailed diversity stats aren’t available from the export, the configuration indicates a reasonable global‑to‑local mix (n_global_factor≈1600 with trust_radius_base≈0.03).</w:t>
      </w:r>
    </w:p>
    <w:p>
      <w:pPr>
        <w:pStyle w:val="Heading2"/>
      </w:pPr>
      <w:r>
        <w:t>Comment on the new query point</w:t>
      </w:r>
    </w:p>
    <w:p>
      <w:r>
        <w:t>The submitted query sits at **very high x3 and x4** with x1 in the upper range and x2 mid‑low; this is exactly where the Week‑7 ridge hypothesis suggested upside. The outcome (y≈2733.29) validates the surrogate’s uncertainty/mean signals along that frontier.</w:t>
      </w:r>
    </w:p>
    <w:p>
      <w:pPr>
        <w:pStyle w:val="Heading2"/>
      </w:pPr>
      <w:r>
        <w:t>Recommendations for Week 9</w:t>
      </w:r>
    </w:p>
    <w:p>
      <w:r>
        <w:t>• Maintain NN+PCA for Function 5 next week; it appears well‑calibrated for the local landscape.</w:t>
      </w:r>
    </w:p>
    <w:p>
      <w:r>
        <w:t>• Keep **trust_radius_base≈0.03–0.04** and **n_global_factor≳1600** so the buffer continues to include globally distinct probes.</w:t>
      </w:r>
    </w:p>
    <w:p>
      <w:r>
        <w:t>• Enforce a **global floor** (≥1–2 Sobol/LHS points) and run **Max–Min (farthest‑point) selection** on the ranked buffer to ensure spread, even when EI is flat.</w:t>
      </w:r>
    </w:p>
    <w:p>
      <w:r>
        <w:t>• If ARD pruning appears aggressive in future runs, temporarily relax ard_rel_threshold so x1/x2 variability isn’t inadvertently suppressed.</w:t>
      </w:r>
    </w:p>
    <w:p>
      <w:r>
        <w:t>• Log the **final-set diversity** (min pairwise distance among the k returned) to confirm realized spread beyond the buffer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