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Function_6_Week_8_Analysis</w:t>
      </w:r>
    </w:p>
    <w:p>
      <w:pPr>
        <w:pStyle w:val="Heading2"/>
      </w:pPr>
      <w:r>
        <w:t>Executive summary</w:t>
      </w:r>
    </w:p>
    <w:p>
      <w:r>
        <w:t>• Strategy effectiveness this week is **moderate**: the appended query delivered y ≈ −0.4326, a slight regression versus the Week‑7 improvement (≈ −0.4102), but still stronger than Week‑6 (≈ −0.455).</w:t>
        <w:br/>
        <w:t>• The Week‑8 run used a **GP surrogate with PCA enabled**, a relatively **broad global pool** (n_global_factor≈6000) and a **trust‑region base≈0.06**, which preserves a reasonable exploration/exploitation balance.</w:t>
        <w:br/>
        <w:t>• Visual diagnostics (ARD/EI/UCB/cluster plots) ran successfully; numeric ARD values were not fully extractable from the export, but week‑over‑week behaviour remains consistent with a high‑(x3,x4) ridge and low x5.</w:t>
      </w:r>
    </w:p>
    <w:p>
      <w:pPr>
        <w:pStyle w:val="Heading2"/>
      </w:pPr>
      <w:r>
        <w:t>Week‑8 charts &amp; logs: objective read‑out</w:t>
      </w:r>
    </w:p>
    <w:p>
      <w:r>
        <w:t>• **Config**: GP surrogate; use_pca=True; trust_radius_base≈0.06; n_global_factor≈6000; batch_predict_size≈10000; standardize_y=True.</w:t>
        <w:br/>
        <w:t>• **Data growth**: X shape (26,5) → (27,5); Y shape (26,) → (27,).</w:t>
        <w:br/>
        <w:t>• **New query appended**: x_new ≈ [0.514761, 0.363457, 0.871459, 0.774890, 0.008369]; observed y_new ≈ −0.4326.</w:t>
        <w:br/>
        <w:t>• **Diagnostics**: ARD screening, SVM gating, EI/UCB histograms and PCA+KMeans cluster plots executed (numeric ARD/diversity stats not fully available in export).</w:t>
      </w:r>
    </w:p>
    <w:p>
      <w:pPr>
        <w:pStyle w:val="Heading2"/>
      </w:pPr>
      <w:r>
        <w:t>Comparison to Week 7</w:t>
      </w:r>
    </w:p>
    <w:p>
      <w:r>
        <w:t>Week 7 delivered a new point at ≈[0.522, 0.366, 0.881, 0.770, 0.0178] with y ≈ −0.4102 (improvement over Week 6’s ≈ −0.455). Week 8’s y ≈ −0.4326 is a small step back versus Week 7, yet remains aligned with the established pattern: high x3/x4 and very low x5.</w:t>
      </w:r>
    </w:p>
    <w:p>
      <w:pPr>
        <w:pStyle w:val="Heading2"/>
      </w:pPr>
      <w:r>
        <w:t>Assessment of strategy effectiveness</w:t>
      </w:r>
    </w:p>
    <w:p>
      <w:r>
        <w:t>**Partially effective.** The configuration provided adequate breadth (large global pool + PCA) while maintaining a local search radius; however, the chosen point stayed close to the Week‑7 basin and did not translate the acquisition’s optimism into a new high. The slight regression suggests mild over‑exploitation along the same ridge or local mis‑calibration of uncertainty.</w:t>
      </w:r>
    </w:p>
    <w:p>
      <w:pPr>
        <w:pStyle w:val="Heading2"/>
      </w:pPr>
      <w:r>
        <w:t>Comment on the new query point</w:t>
      </w:r>
    </w:p>
    <w:p>
      <w:r>
        <w:t>The Week‑8 query keeps **x3 and x4 high** with **x5 near zero**, consistent with the hypothesised ridge. Given Week‑7’s strong outcome, this was a reasonable bet, but the realised y (≈ −0.4326) indicates diminishing returns at that locale—supporting a controlled broadening of the search in Week 9.</w:t>
      </w:r>
    </w:p>
    <w:p>
      <w:pPr>
        <w:pStyle w:val="Heading2"/>
      </w:pPr>
      <w:r>
        <w:t>Recommendations for Week 9</w:t>
      </w:r>
    </w:p>
    <w:p>
      <w:r>
        <w:t>• Slightly **widen the trust region** for one cycle (base ≈ 0.07–0.08) to encourage departures from the Week‑7 pocket while keeping PCA on.</w:t>
      </w:r>
    </w:p>
    <w:p>
      <w:r>
        <w:t>• Maintain a **global floor** (≥2 Sobol/LHS points) and apply **Max–Min (farthest‑point)** selection on the ranked buffer to guarantee spread even when EI is flat.</w:t>
      </w:r>
    </w:p>
    <w:p>
      <w:r>
        <w:t>• Temporarily **relax ARD pruning** (lower ard_rel_threshold) so x1/x2/x5 receive small but non‑zero variation; re‑enable stricter pruning after a diversification pass.</w:t>
      </w:r>
    </w:p>
    <w:p>
      <w:r>
        <w:t>• If UCB is already high, **lower ξ slightly and/or lift κ modestly** to privilege uncertainty reduction on under‑sampled regions rather than repeatedly sampling the same ridge.</w:t>
      </w:r>
    </w:p>
    <w:p>
      <w:r>
        <w:t>• Add a **final‑set diversity** print (min pairwise distance across the returned k) to verify realised spread beyond the buffer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