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Function_7_Week_8_Analysis</w:t>
      </w:r>
    </w:p>
    <w:p>
      <w:pPr>
        <w:pStyle w:val="Heading2"/>
      </w:pPr>
      <w:r>
        <w:t>Executive summary</w:t>
      </w:r>
    </w:p>
    <w:p>
      <w:r>
        <w:t>• Strategy effectiveness this week looks **promising** for Function 7: the newly appended query produced y ≈ **1.2208**, which indicates the model is still finding high‑value regions in the search space.</w:t>
        <w:br/>
        <w:t>• The Week‑8 run used a **Neural‑Network surrogate with PCA enabled** (pca_var_keep≈0.95), a **narrow trust‑region base≈0.0255**, and a **moderate global pool (n_global_factor≈2200)**—a configuration tuned toward local refinement with some global coverage.</w:t>
        <w:br/>
        <w:t>• ARD feature screening was active at **ard_rel_threshold≈0.20**, and **SVM gating kept ≈40%** of the candidate buffer before ranking, suggesting a balanced filter rather than an overly aggressive gate.</w:t>
      </w:r>
    </w:p>
    <w:p>
      <w:pPr>
        <w:pStyle w:val="Heading2"/>
      </w:pPr>
      <w:r>
        <w:t>Week‑8 charts &amp; logs: objective read‑out</w:t>
      </w:r>
    </w:p>
    <w:p>
      <w:r>
        <w:t>• **Config**: use_nn=True (ensemble MLP), use_pca=True (pca_var_keep≈0.95), trust_radius_base≈0.0255, n_global_factor≈2200; svm_keep_frac≈0.40; ard_rel_threshold≈0.20; standardize_y=True.</w:t>
        <w:br/>
        <w:t>• **Data growth**: X shape (36,6) → (37,6); Y shape (36,) → (37,).</w:t>
        <w:br/>
        <w:t>• **New query appended**: x_new ≈ [0.046045, 0.155010, 0.587434, 0.120371, 0.454455, 0.895899]; observed y_new ≈ **1.2208**.</w:t>
        <w:br/>
        <w:t>• **Diagnostics**: ARD screening and SVM gate executed; EI/UCB plots rendered. Numeric ARD/diversity printouts were not included in the HTML export.</w:t>
      </w:r>
    </w:p>
    <w:p>
      <w:pPr>
        <w:pStyle w:val="Heading2"/>
      </w:pPr>
      <w:r>
        <w:t>Comparison to Week 7 (context)</w:t>
      </w:r>
    </w:p>
    <w:p>
      <w:r>
        <w:t>The specific Week‑7 analysis file wasn’t available in the attachments, so a direct benchmark against Week‑7’s incumbent is not quoted here. Based on Week‑8 charts and the strong y_new, the strategy appears to be continuing to exploit an informative region while preserving some exploration via the global pool. If you share the Week‑7 document, I can append a delta table (Y_best and location deltas) to this report.</w:t>
      </w:r>
    </w:p>
    <w:p>
      <w:pPr>
        <w:pStyle w:val="Heading2"/>
      </w:pPr>
      <w:r>
        <w:t>Assessment of strategy effectiveness</w:t>
      </w:r>
    </w:p>
    <w:p>
      <w:r>
        <w:t>**Effective** this round. The NN+PCA surrogate with a tight trust‑region (≈0.0255) successfully proposed a high‑yield point. Given the active ARD and a moderate SVM keep‑fraction (≈0.40), the pipeline is filtering and ranking candidates sensibly without collapsing diversity. The absence of explicit diversity stats in the export prevents a quantitative spread check, but the outcome (y≈1.2208) supports the current settings.</w:t>
      </w:r>
    </w:p>
    <w:p>
      <w:pPr>
        <w:pStyle w:val="Heading2"/>
      </w:pPr>
      <w:r>
        <w:t>Comment on the new query point</w:t>
      </w:r>
    </w:p>
    <w:p>
      <w:r>
        <w:t xml:space="preserve">The appended coordinates </w:t>
        <w:br/>
        <w:t xml:space="preserve">  x_new ≈ [0.046045, 0.155010, 0.587434, 0.120371, 0.454455, 0.895899]</w:t>
        <w:br/>
        <w:t>suggest the model is sampling with **one dimension near the upper bound (x6≈0.896)**, a **mid‑range mass around x3≈0.587** and x5≈0.454, and **low settings on x1/x2/x4**. This pattern is consistent with ARD‑guided emphasis on a subset of dimensions and a narrow trust‑region that perturbs around promising anchors. The strong response (y≈1.2208) validates this direction.</w:t>
      </w:r>
    </w:p>
    <w:p>
      <w:pPr>
        <w:pStyle w:val="Heading2"/>
      </w:pPr>
      <w:r>
        <w:t>Recommendations for Week 9</w:t>
      </w:r>
    </w:p>
    <w:p>
      <w:r>
        <w:t>• Keep **NN+PCA** and the **trust‑region base in the 0.025–0.03 band** for one more cycle to consolidate gains; consider a small increase only if top‑5 proposals begin to cluster tightly.</w:t>
      </w:r>
    </w:p>
    <w:p>
      <w:r>
        <w:t>• Guarantee a **global floor** (≥1–2 Sobol/LHS points) and apply **Max–Min (farthest‑point)** on the ranked buffer to enforce spread when EI looks flat.</w:t>
      </w:r>
    </w:p>
    <w:p>
      <w:r>
        <w:t>• If ARD is pruning aggressively in future runs, **relax `ard_rel_threshold` from 0.20 → 0.15** temporarily to allow secondary dims to vary; re‑tighten after a diversification pass.</w:t>
      </w:r>
    </w:p>
    <w:p>
      <w:r>
        <w:t>• Audit the final top‑k with a **min pairwise distance** print; this verifies realised diversity post‑gate and helps avoid over‑localised batches.</w:t>
      </w:r>
    </w:p>
    <w:p>
      <w:r>
        <w:t>• Optionally **tilt EI/UCB**: nudge **ξ slightly downward** (if EI dominates and repeat picks occur) or **lift κ** modestly to emphasize uncertainty where the model remains under‑sampled.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