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Function_1_Week_9_Analysis</w:t>
      </w:r>
    </w:p>
    <w:p>
      <w:r>
        <w:t>**Executive summary**</w:t>
      </w:r>
    </w:p>
    <w:p>
      <w:r>
        <w:t>• Strategy used: Max–Min geometric exploration with farthest‑point selection, SVM disabled, large global pool (as per Week 9 plan).</w:t>
      </w:r>
    </w:p>
    <w:p>
      <w:r>
        <w:t>• Effectiveness: High geometric diversity maintained. The tool reports mean pairwise distance ≈ 0.6144 and per‑dimension std ≈ [0.331, 0.273] across top‑k candidates, comfortably above the Week‑8 success floors.</w:t>
      </w:r>
    </w:p>
    <w:p>
      <w:r>
        <w:t>• New Week‑9 portal query (top‑1): 0.427606–0.461389.</w:t>
      </w:r>
    </w:p>
    <w:p>
      <w:r>
        <w:t>• Expected behaviour: For a near‑flat Function 1, continued broad exploration is appropriate; the selected point is well within the x₂ ≤ 0.80 constraint and contributes to global coverage.</w:t>
      </w:r>
    </w:p>
    <w:p/>
    <w:p>
      <w:r>
        <w:t>**What the Week‑9 charts show (key diagnostics)**</w:t>
      </w:r>
    </w:p>
    <w:p>
      <w:r>
        <w:t>1) Proposed next queries (top 5): 0.427606–0.461389; 0.998745–0.000797; 0.014636–0.695996; 0.732112–0.009900; 0.672173–0.435455.</w:t>
      </w:r>
    </w:p>
    <w:p>
      <w:r>
        <w:t xml:space="preserve">   • Portal top‑1 recorded: 0.427606–0.461389.</w:t>
      </w:r>
    </w:p>
    <w:p>
      <w:r>
        <w:t>2) Diversity metrics: mean pairwise distance ≈ 0.6144; per‑dimension std (top‑k) ≈ [0.331, 0.273].</w:t>
      </w:r>
    </w:p>
    <w:p>
      <w:r>
        <w:t>3) Surrogate used for proposal ranking: Gaussian Process; geometric farthest‑point override ensured global coverage.</w:t>
      </w:r>
    </w:p>
    <w:p/>
    <w:p>
      <w:r>
        <w:t>**Link‑back to Week‑8 analysis (for context)**</w:t>
      </w:r>
    </w:p>
    <w:p>
      <w:r>
        <w:t>• Week‑8 established the correct portal query as 0.001142–0.002684 and confirmed that EI/UCB were essentially flat under near‑zero outputs.</w:t>
      </w:r>
    </w:p>
    <w:p>
      <w:r>
        <w:t>• Success floors used to judge exploration quality: per‑dimension std ≥ 0.05 and mean pairwise distance ≥ 0.10.</w:t>
      </w:r>
    </w:p>
    <w:p/>
    <w:p>
      <w:r>
        <w:t>**Interpretation for Week‑9**</w:t>
      </w:r>
    </w:p>
    <w:p>
      <w:r>
        <w:t>• The Week‑9 candidate set easily meets the Week‑8 diversity floors, indicating the Max–Min approach is working as intended.</w:t>
      </w:r>
    </w:p>
    <w:p>
      <w:r>
        <w:t>• The chosen query 0.427606–0.461389 sits away from previously probed extremes and should improve coverage of the interior region; under a sparse/near‑flat response this raises hit‑probability without over‑committing to any model artefact.</w:t>
      </w:r>
    </w:p>
    <w:p>
      <w:r>
        <w:t>• Given Function 1’s tendency to return ~0 regardless of input, don’t expect immediate output jumps; success here is measured by space coverage rather than one‑step gain.</w:t>
      </w:r>
    </w:p>
    <w:p/>
    <w:p>
      <w:r>
        <w:t>**Recommendations for Week‑10**</w:t>
      </w:r>
    </w:p>
    <w:p>
      <w:r>
        <w:t>1) Continue Max–Min geometric exploration; retain large global pool.</w:t>
      </w:r>
    </w:p>
    <w:p>
      <w:r>
        <w:t>2) Keep x₂ ≤ 0.80; occasionally seed one candidate near each corner to hedge against sparse sources.</w:t>
      </w:r>
    </w:p>
    <w:p>
      <w:r>
        <w:t>3) If outputs remain flat, increase global factor further and maintain a small trust radius to avoid clustering.</w:t>
      </w:r>
    </w:p>
    <w:p/>
    <w:p>
      <w:r>
        <w:t>**Notes / Provenance**</w:t>
      </w:r>
    </w:p>
    <w:p>
      <w:r>
        <w:t>• Week‑9 charts &amp; diagnostics: Function 1 wk9.html.</w:t>
      </w:r>
    </w:p>
    <w:p>
      <w:r>
        <w:t>• Week‑8 context &amp; success floors: Function_1_Week_8_Analysis.docx.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