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Function_2_Week_9_Analysis</w:t>
      </w:r>
    </w:p>
    <w:p>
      <w:r>
        <w:t>**Executive summary**</w:t>
      </w:r>
    </w:p>
    <w:p>
      <w:r>
        <w:t>• Strategy effectiveness: Standard Bayesian optimisation remains effective for Function 2. The Week 9 charts show proposals tightly concentrated along a high‑x2 ridge and small, controlled adjustments in x1—exactly what we expect when the surrogate continues to discriminate near the peak.</w:t>
      </w:r>
    </w:p>
    <w:p>
      <w:r>
        <w:t>• New Week‑9 portal query (top‑1): 0.686249–0.999999.</w:t>
      </w:r>
    </w:p>
    <w:p>
      <w:r>
        <w:t>• What this implies: The optimiser is refining near the boundary at x2≈1.0 while nudging x1 within ~0.684–0.688, consistent with a rising ridge toward high x2.</w:t>
      </w:r>
    </w:p>
    <w:p/>
    <w:p>
      <w:r>
        <w:t>**Evidence from the Week‑9 charts**</w:t>
      </w:r>
    </w:p>
    <w:p>
      <w:r>
        <w:t>• Proposed next queries (top‑5): 0.686249–0.999999; 0.686581–0.999999; 0.687441–0.999999; 0.684861–0.999999; 0.684942–0.999665.</w:t>
      </w:r>
    </w:p>
    <w:p>
      <w:r>
        <w:t>• Best observed so far carried into Week 9: Y≈0.623402 at X≈[0.689861, 0.998699] (used by the surrogate as the current incumbent).</w:t>
      </w:r>
    </w:p>
    <w:p>
      <w:r>
        <w:t>• Diversity diagnostics (top‑k set): mean pairwise distance ≈ 0.0014; per‑dimension std ≈ [0.001, 0.000] — very tight, as expected for boundary‑ridge refinement.</w:t>
      </w:r>
    </w:p>
    <w:p>
      <w:r>
        <w:t>• Sensitivity (ARD) snapshot: dim1 dominant (sens≈18.57, rel=1.0, keep=True); dim2 weak (sens≈0.47, rel≈0.025, keep=False).</w:t>
      </w:r>
    </w:p>
    <w:p/>
    <w:p>
      <w:r>
        <w:t>**Assessment of the strategy**</w:t>
      </w:r>
    </w:p>
    <w:p>
      <w:r>
        <w:t>• Why standard BO is still the right tool here: The GP continues to produce a ranked set of near‑neighbour candidates with coherent ordering and a stable best‑so‑far, indicating the acquisition function retains signal near the apex. A hard geometric override would sacrifice this fine‑grain exploitation.</w:t>
      </w:r>
    </w:p>
    <w:p>
      <w:r>
        <w:t>• What the tight diversity means: The optimiser has likely reached a narrow ridge/plateau at x2≈1.0. The tiny spread across candidates (≈0.001 along x1 and ≈0 along x2) is expected in late‑stage refinement.</w:t>
      </w:r>
    </w:p>
    <w:p>
      <w:r>
        <w:t>• Risk/guard‑rail: Boundary saturation can mask a slight off‑boundary decline. Keep a small perturbation rate (≈0.04–0.05) so one candidate per batch tests x2 just below 1 (e.g., 0.990–0.996) while the rest exploit at the boundary.</w:t>
      </w:r>
    </w:p>
    <w:p/>
    <w:p>
      <w:r>
        <w:t>**Comment on the Week‑9 new query**</w:t>
      </w:r>
    </w:p>
    <w:p>
      <w:r>
        <w:t>• Chosen portal query: 0.686249–0.999999.</w:t>
      </w:r>
    </w:p>
    <w:p>
      <w:r>
        <w:t>• Rationale: It follows the model‑implied ascent at high x2 and continues precise tuning in x1 around ≈0.686–0.687. Given the incumbent at [0.689861, 0.998699] with Y≈0.6234, this selection is a sensible exploitation step that can either confirm the boundary peak or reveal a small local improvement.</w:t>
      </w:r>
    </w:p>
    <w:p/>
    <w:p>
      <w:r>
        <w:t>**Recommended next tweaks (Week 10)**</w:t>
      </w:r>
    </w:p>
    <w:p>
      <w:r>
        <w:t>1) Continue EI/UCB‑driven BO; avoid geometric farthest‑point overrides for Function 2.</w:t>
      </w:r>
    </w:p>
    <w:p>
      <w:r>
        <w:t>2) Maintain a large global candidate pool and a small trust‑radius; keep perturbations at ≈0.05 to include one off‑boundary probe in each batch (x2≈0.990–0.996).</w:t>
      </w:r>
    </w:p>
    <w:p>
      <w:r>
        <w:t>3) Monitor whether any off‑boundary probe beats the boundary point; if not, accept boundary optimum and tighten trust‑radius further for final passes.</w:t>
      </w:r>
    </w:p>
    <w:p/>
    <w:p>
      <w:r>
        <w:t>**Notes / Provenance**</w:t>
      </w:r>
    </w:p>
    <w:p>
      <w:r>
        <w:t>• Week‑9 charts &amp; logs parsed from: Function 2 wk9.html.</w:t>
      </w:r>
    </w:p>
    <w:p>
      <w:r>
        <w:t>• Metrics extracted: top‑5 proposals, portal top‑1, incumbent best Y and X, ARD sensitivities, and diversity measures (mean pairwise distance, per‑dim std).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