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Function_4_Week_9_Analysis</w:t>
      </w:r>
    </w:p>
    <w:p>
      <w:r>
        <w:t>**Executive summary**</w:t>
      </w:r>
    </w:p>
    <w:p>
      <w:r>
        <w:t>• Strategy effectiveness: Effective overall this week. Compared with Week 8’s diversity collapse and weak new sample, Week 9 shows a healthy balance—top‑k proposals are spread in x1–x2 (per‑dim std≈[0.175, 0.243, 0.004, 0.012]) while x3 remains near 1.0 for exploitation. The observed incumbent is strong (Y≈1747.71).</w:t>
      </w:r>
    </w:p>
    <w:p>
      <w:r>
        <w:t>**Evidence from Week 9 charts/logs (Function 4)**</w:t>
      </w:r>
    </w:p>
    <w:p>
      <w:r>
        <w:t>• Proposed next queries (top‑5):</w:t>
      </w:r>
    </w:p>
    <w:p>
      <w:r>
        <w:t xml:space="preserve">  1. 0.430094-0.501206-0.998135-0.988184</w:t>
      </w:r>
    </w:p>
    <w:p>
      <w:r>
        <w:t xml:space="preserve">  2. 0.529116-0.435694-0.994611-0.997210</w:t>
      </w:r>
    </w:p>
    <w:p>
      <w:r>
        <w:t xml:space="preserve">  3. 0.210477-0.800000-0.987263-0.967806</w:t>
      </w:r>
    </w:p>
    <w:p>
      <w:r>
        <w:t xml:space="preserve">  4. 0.035128-0.080788-0.992635-0.970787</w:t>
      </w:r>
    </w:p>
    <w:p>
      <w:r>
        <w:t xml:space="preserve">  5. 0.378615-0.251131-0.995668-0.965800</w:t>
      </w:r>
    </w:p>
    <w:p>
      <w:r>
        <w:t>• Portal top‑1: 0.430094-0.501206-0.998135-0.988184</w:t>
      </w:r>
    </w:p>
    <w:p>
      <w:r>
        <w:t>• Current best observed: Y≈1747.71 at X≈[0.445848, 0.740499, 0.995147, 0.92283]</w:t>
      </w:r>
    </w:p>
    <w:p>
      <w:r>
        <w:t>• Diversity (top‑k): mean pairwise distance≈0.4356; per‑dim std≈[0.175, 0.243, 0.004, 0.012]</w:t>
      </w:r>
    </w:p>
    <w:p>
      <w:r>
        <w:t>• ARD sensitivities snapshot: dim3 sens≈2.51 (rel=1.000, keep), dim4 sens≈1.76 (rel≈0.700, keep), dim2 sens≈0.30 (rel≈0.118, keep), dim1 sens≈0.30 (rel≈0.118, keep)</w:t>
      </w:r>
    </w:p>
    <w:p>
      <w:r>
        <w:t>**What changed vs. Week 8**</w:t>
      </w:r>
    </w:p>
    <w:p>
      <w:r>
        <w:t>• Week 8 symptoms (from prior analysis): ARD dropped x1–x2, trust‑radius effectively 0, top‑k collapsed (mpd≈0.0188) and the new query under‑performed (y≈−6.50). Recommendations were to widen trust‑radius, relax ARD screening and ensure global diversity.</w:t>
      </w:r>
    </w:p>
    <w:p>
      <w:r>
        <w:t>• Week 9 response: Proposals now preserve spread across x1–x2 while keeping x3, x4 high—consistent with the ARD ranking. Mean pairwise distance rose to ≈0.436 and the portal top‑1 remains near the high‑x3/x4 ridge, indicating exploitation with real breadth.</w:t>
      </w:r>
    </w:p>
    <w:p>
      <w:r>
        <w:t>**Assessment &amp; recommendations**</w:t>
      </w:r>
    </w:p>
    <w:p>
      <w:r>
        <w:t>• Keep GP+EI/UCB as the core. The ranked list is coherent and diversity metrics are healthy—no sign of premature clustering.</w:t>
      </w:r>
    </w:p>
    <w:p>
      <w:r>
        <w:t>• Maintain a moderate trust‑radius (≈0.03–0.05) and retain perturbations so at least one candidate per batch makes a substantial move in x1 or x2 while holding x3 in 0.98–1.00 and x4 in 0.96–1.00 to continue skimming the ridge.</w:t>
      </w:r>
    </w:p>
    <w:p>
      <w:r>
        <w:t>• Keep ARD screening on but with a conservative threshold; all four dims currently remain (dim3&gt;dim4&gt;&gt;dim1≈dim2). Avoid pruning x1–x2 given their contribution to diversity.</w:t>
      </w:r>
    </w:p>
    <w:p>
      <w:r>
        <w:t>• Preserve the global/geometric floor (Max–Min) in the final selection to keep mpd above ≈0.25 week‑to‑week.</w:t>
      </w:r>
    </w:p>
    <w:p>
      <w:r>
        <w:t>**Comment on the Week‑9 new query**</w:t>
      </w:r>
    </w:p>
    <w:p>
      <w:r>
        <w:t>• The chosen portal query 0.430094-0.501206-0.998135-0.988184 leans into the high‑x3/x4 ridge (x3≈0.998, x4≈0.988) while shifting x1≈0.43 and x2≈0.50. This is an appropriate exploitation step given the strong incumbent and maintains lateral coverage across x1–x2.</w:t>
      </w:r>
    </w:p>
    <w:p>
      <w:r>
        <w:t>**Notes / Provenance**</w:t>
      </w:r>
    </w:p>
    <w:p>
      <w:r>
        <w:t>• Sources: Function 4 wk9.html (top‑5, portal top‑1, incumbent, diversity); Function_4_Week_8_Analysis.docx (Week‑8 issues and recommendations).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