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Function_6_Week_9_Analysis (Corrected with Y_best = +1.5655235)</w:t>
      </w:r>
    </w:p>
    <w:p>
      <w:pPr>
        <w:pStyle w:val="Heading2"/>
      </w:pPr>
      <w:r>
        <w:t>1. Executive Summary</w:t>
      </w:r>
    </w:p>
    <w:p>
      <w:r>
        <w:t>Week 9 for Function 6 shows that the optimiser had already achieved a strongly positive best observed value (y_best ≈ 1.5655). However, acquisition still used EI@0, causing EI to collapse to ~0 across candidates and driving exploration into low-value regions. The Week‑9 selection therefore under-performed not because the system was failing, but because the acquisition target was misaligned.</w:t>
      </w:r>
    </w:p>
    <w:p>
      <w:pPr>
        <w:pStyle w:val="Heading2"/>
      </w:pPr>
      <w:r>
        <w:t>2. What the Week 9 Charts Show</w:t>
      </w:r>
    </w:p>
    <w:p>
      <w:r>
        <w:t>• EI Distribution: EI values were ~1e-13, which is expected when EI is computed against y_target=0 while y_best is far above zero.</w:t>
      </w:r>
    </w:p>
    <w:p>
      <w:r>
        <w:t>• UCB Distribution: Tight clustering around zero reflects low model variance and negative/near-zero predicted means.</w:t>
      </w:r>
    </w:p>
    <w:p>
      <w:r>
        <w:t>• Top-K Diagnostics: Top candidate had mu≈−1.134, std≈0.385, PI(y&gt;0)≈0.002. This confirms sampling was pushed into regions inconsistent with the known positive basin.</w:t>
      </w:r>
    </w:p>
    <w:p>
      <w:pPr>
        <w:pStyle w:val="Heading2"/>
      </w:pPr>
      <w:r>
        <w:t>3. Interpretation with Correct Y_best</w:t>
      </w:r>
    </w:p>
    <w:p>
      <w:r>
        <w:t>Because y_best ≈ 1.5655, EI@0 is no longer meaningful. EI becomes numerically negligible, and the optimiser cannot detect beneficial directions. Thus Week‑9’s poor candidate selection was caused by acquisition mismatch rather than model failure.</w:t>
      </w:r>
    </w:p>
    <w:p>
      <w:pPr>
        <w:pStyle w:val="Heading2"/>
      </w:pPr>
      <w:r>
        <w:t>4. Recommendations for Week 10</w:t>
      </w:r>
    </w:p>
    <w:p>
      <w:r>
        <w:t>• Switch to EI@(y_best) instead of EI@0.</w:t>
      </w:r>
    </w:p>
    <w:p>
      <w:r>
        <w:t>• Re-enable SVM gating and ARD screening for disciplined pruning.</w:t>
      </w:r>
    </w:p>
    <w:p>
      <w:r>
        <w:t>• Moderate perturbation_rate_base to 0.25–0.35 and trust_radius_base to 0.03–0.04.</w:t>
      </w:r>
    </w:p>
    <w:p>
      <w:r>
        <w:t>• Use UCB with kappa=2.0–2.5 and xi=0.01.</w:t>
      </w:r>
    </w:p>
    <w:p>
      <w:r>
        <w:t>• Maintain Function‑6 geometric insurance with min_global=2 for one run.</w:t>
      </w:r>
    </w:p>
    <w:p>
      <w:r>
        <w:t>• Add logging for y_best, EI target, and diversity metrics each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