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Function_7_Week_9_Analysis7</w:t>
      </w:r>
    </w:p>
    <w:p>
      <w:pPr>
        <w:pStyle w:val="Heading2"/>
      </w:pPr>
      <w:r>
        <w:t>Executive summary</w:t>
      </w:r>
    </w:p>
    <w:p>
      <w:r>
        <w:t>The Week‑9 (wk9i) export indicates Function 7 ran with the Deep Ridge Push stack and appended a new observation. Charts show EI/UCB/posterior diagnostics and PCA usage; ARD screening and SVM gating were active. Compared with Week‑8 (which delivered y≈1.2208 near (x3,x4)≈(0.59,0.12) with high x6), wk9i’s behaviour appears more conservative, with corridor control applied when enabled, and standard diversity safeguards (global floor, farthest‑point).</w:t>
      </w:r>
    </w:p>
    <w:p>
      <w:pPr>
        <w:pStyle w:val="Heading2"/>
      </w:pPr>
      <w:r>
        <w:t>Week‑9i: key read‑outs</w:t>
      </w:r>
    </w:p>
    <w:p>
      <w:r>
        <w:t>• Guard‑rail v2 present; clamp applied when EI‑density allows or when forced by manual centre (if used).</w:t>
      </w:r>
    </w:p>
    <w:p>
      <w:r>
        <w:t>• F7 config present in logs: xi/kappa for EI/UCB, trust‑radius, global/trust pool sizes, SVM keep‑fraction, ARD threshold, PCA flag.</w:t>
      </w:r>
    </w:p>
    <w:p>
      <w:r>
        <w:t>• SVM gate (rbf, C≈1.0) filters candidates by decision_function; ARD prunes weak dimensions and median‑snaps them; PCA used for diagnostics and (when enabled) scoring.</w:t>
      </w:r>
    </w:p>
    <w:p>
      <w:pPr>
        <w:pStyle w:val="Heading2"/>
      </w:pPr>
      <w:r>
        <w:t>Effectiveness of FUNCTION 7 (Deep Ridge Push)</w:t>
      </w:r>
    </w:p>
    <w:p>
      <w:r>
        <w:t>The diagnostic charts (EI/UCB overlays, posterior slices, pairwise EI) are consistent with a stable surrogate and acquisition setup. Given Week‑8’s validated pocket near (x3,x4)≈(0.59,0.12) with high x6, the wk9i stack remains capable of steering toward that region when the corridor is centred there. There is no evidence of pathological collapse or runaway exploration; SVM/ARD/PCA are behaving in line with expectations for this batch.</w:t>
      </w:r>
    </w:p>
    <w:p>
      <w:pPr>
        <w:pStyle w:val="Heading2"/>
      </w:pPr>
      <w:r>
        <w:t>Comment on the new query point</w:t>
      </w:r>
    </w:p>
    <w:p>
      <w:r>
        <w:t>wk9i confirms a new (X,Y) has been appended. While the raw coordinates are not explicitly printed in the export’s text blocks, the pipeline logs show that appends occurred and diagnostics were recomputed. Relative to Week‑8, an on‑corridor selection around mid‑x3/low‑x4 with high x6 remains the recommended geometry to sustain high yield.</w:t>
      </w:r>
    </w:p>
    <w:p>
      <w:pPr>
        <w:pStyle w:val="Heading2"/>
      </w:pPr>
      <w:r>
        <w:t>Additional diagnostics observed</w:t>
      </w:r>
    </w:p>
    <w:p>
      <w:r>
        <w:t>• ARD screen active (threshold≈0.15 in typical runs): non‑kept dims are median‑snapped; clamp dims (x3,x4) preserved so the corridor remains effective.</w:t>
      </w:r>
    </w:p>
    <w:p>
      <w:r>
        <w:t>• SVM gate: quantile‑based keep_frac with relaxed fallback ensures a sufficiently large post‑gate pool for ranking.</w:t>
      </w:r>
    </w:p>
    <w:p>
      <w:r>
        <w:t>• PCA: when enabled, candidates are transformed before scoring; PCA also used for 2D cluster visuals to assess coverage.</w:t>
      </w:r>
    </w:p>
    <w:p>
      <w:pPr>
        <w:pStyle w:val="Heading2"/>
      </w:pPr>
      <w:r>
        <w:t>Recommendations (carried forward)</w:t>
      </w:r>
    </w:p>
    <w:p>
      <w:r>
        <w:t>• If using a manual corridor centre, enable the forced clamp for a recovery cycle so at least one TR candidate stays on the ridge.</w:t>
      </w:r>
    </w:p>
    <w:p>
      <w:r>
        <w:t>• Retain label‑based TR guarantee so at least one TR survivor reaches Top‑K when guard‑rail is on.</w:t>
      </w:r>
    </w:p>
    <w:p>
      <w:r>
        <w:t>• If PCA reduces EI density on the corridor, temporarily score in original space (use_pca=False) while keeping PCA for plots, and relax ARD snapping for context dims (x1/x2/x5).</w:t>
      </w:r>
    </w:p>
    <w:p>
      <w:pPr>
        <w:pStyle w:val="Heading2"/>
      </w:pPr>
      <w:r>
        <w:t>Bottom line</w:t>
      </w:r>
    </w:p>
    <w:p>
      <w:r>
        <w:t>wk9i indicates a healthy optimisation loop with FUNCTION 7 (Deep Ridge Push). To sustain Week‑8–level performance, keep the corridor centred near (x3,x4)≈(0.59,0.12) with high x6 where applicable, and use the forced clamp override on manual runs to avoid EI‑density‑related skips.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