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96D61B" w14:textId="77777777" w:rsidR="00C12197" w:rsidRDefault="00000000">
      <w:pPr>
        <w:pStyle w:val="Heading1"/>
      </w:pPr>
      <w:r>
        <w:t>Function_8_Week_9_Analysis</w:t>
      </w:r>
    </w:p>
    <w:p w14:paraId="29A081A2" w14:textId="77777777" w:rsidR="00C12197" w:rsidRDefault="00000000">
      <w:r>
        <w:br/>
        <w:t>## Overview</w:t>
      </w:r>
      <w:r>
        <w:br/>
        <w:t>This analysis integrates evidence from the Week‑9 Function 8 charts contained in *Capstone Strategy_F8.html* and the prior insights from *Function_8_Week_7_Analysis*. It evaluates (1) the effectiveness of the maximum‑risk dual‑lane search, and (2) the quality of the new Week‑9 query point.</w:t>
      </w:r>
      <w:r>
        <w:br/>
      </w:r>
      <w:r>
        <w:br/>
        <w:t>## 1. Context Recap</w:t>
      </w:r>
      <w:r>
        <w:br/>
        <w:t>Function 8 is characterized by a high‑curvature ridge primarily driven by dimensions x5 and x6, modulated by low‑x3 behaviour. Week‑7 analysis indicated that the algorithm had found but temporarily moved off the optimal ridge due to an over‑shift in x4/x6.</w:t>
      </w:r>
      <w:r>
        <w:br/>
      </w:r>
      <w:r>
        <w:br/>
        <w:t>## 2. Evidence from Week‑9 Charts</w:t>
      </w:r>
      <w:r>
        <w:br/>
        <w:t>The Week‑9 diagnostic charts (EI surfaces, UCB surfaces, posterior slices) show the following:</w:t>
      </w:r>
      <w:r>
        <w:br/>
      </w:r>
      <w:r>
        <w:br/>
        <w:t>### Posterior structure</w:t>
      </w:r>
      <w:r>
        <w:br/>
        <w:t>• The posterior mean continues to display a strong ridge running through high‑x5 and moderate‑to‑high x6. This is consistent with Week‑7 observations that the global maximum lies in the high‑x5 corridor. citeturn15search18</w:t>
      </w:r>
      <w:r>
        <w:br/>
        <w:t>• Posterior variance remains elevated near the low‑x3 band, confirming that the dual‑lane strategy continues to target the correct under‑explored manifold. citeturn15search18</w:t>
      </w:r>
      <w:r>
        <w:br/>
      </w:r>
      <w:r>
        <w:br/>
        <w:t>### EI and UCB distributions</w:t>
      </w:r>
      <w:r>
        <w:br/>
        <w:t>• EI mass is concentrated along the same high‑x5 / mid‑x6 ridge, validating that the surrogate is now correctly aligned after the Week‑7 correction. citeturn15search18</w:t>
      </w:r>
      <w:r>
        <w:br/>
        <w:t>• The UCB surface shows a secondary exploratory plateau extending into the low‑x6 region, which is desirable for a maximum‑risk strategy, keeping some exploratory pressure alive. citeturn15search18</w:t>
      </w:r>
      <w:r>
        <w:br/>
      </w:r>
      <w:r>
        <w:br/>
        <w:t>### SVM gating and candidate diversity</w:t>
      </w:r>
      <w:r>
        <w:br/>
        <w:t>• Week‑9’s SVM gate (keep_frac≈0.40) preserved a diverse cloud but correctly narrowed retention around the dominant ridge. This indicates effective interaction between the surrogate and dual‑lane sampling. citeturn15search18</w:t>
      </w:r>
      <w:r>
        <w:br/>
      </w:r>
      <w:r>
        <w:br/>
        <w:t>## 3. The New Week‑9 Query Point</w:t>
      </w:r>
      <w:r>
        <w:br/>
        <w:t>The notebook records the new query as:</w:t>
      </w:r>
      <w:r>
        <w:br/>
      </w:r>
      <w:r>
        <w:br/>
        <w:t xml:space="preserve">**new_X = [0.086990, 0.696671, 0.083348, 0.05, 0.933543, 0.470417, 0.130027, 0.001254]**  </w:t>
      </w:r>
      <w:r>
        <w:br/>
      </w:r>
      <w:r>
        <w:lastRenderedPageBreak/>
        <w:t>**new_Y = 9.6288489312239** citeturn15search18</w:t>
      </w:r>
      <w:r>
        <w:br/>
      </w:r>
      <w:r>
        <w:br/>
        <w:t>### Interpretation</w:t>
      </w:r>
      <w:r>
        <w:br/>
        <w:t xml:space="preserve">• Very strong x5 (0.93) aligns with the optimum slice predicted both in Week‑7 and earlier weeks.  </w:t>
      </w:r>
      <w:r>
        <w:br/>
        <w:t xml:space="preserve">• x6≈0.47 sits precisely in the mid‑band where Week‑9 EI peaked, confirming that the acquisition function behaved correctly.  </w:t>
      </w:r>
      <w:r>
        <w:br/>
        <w:t>• x3≈0.083 is exactly on the low‑x3 manifold previously identified as high‑value (Week‑7 recommendation: return to x3 ≈ 0.07). citeturn15search1turn15search18</w:t>
      </w:r>
      <w:r>
        <w:br/>
        <w:t xml:space="preserve">• The achieved Y≈9.63 represents an improvement over Week‑7 (9.47), though still shy of Week‑6’s 9.79 maximum. This shows partial recovery towards the true ridge.  </w:t>
      </w:r>
      <w:r>
        <w:br/>
      </w:r>
      <w:r>
        <w:br/>
        <w:t>Overall, the new query point is **directionally correct**, reinforcing that the Week‑8/9 adjustments to kappa, PCA usage, and trust‑radius were beneficial.</w:t>
      </w:r>
      <w:r>
        <w:br/>
      </w:r>
      <w:r>
        <w:br/>
        <w:t>## 4. Effectiveness of the Dual‑Lane Strategy (Week‑9)</w:t>
      </w:r>
      <w:r>
        <w:br/>
        <w:t>The Week‑9 behaviour demonstrates the intended traits of the maximum‑risk dual‑lane strategy:</w:t>
      </w:r>
      <w:r>
        <w:br/>
      </w:r>
      <w:r>
        <w:br/>
        <w:t xml:space="preserve">1. **Lane A — Exploitative Ridge Tracking:**  </w:t>
      </w:r>
      <w:r>
        <w:br/>
        <w:t xml:space="preserve">   The algorithm clearly locked onto the high‑x5 ridge. EI maxima occurred in precisely the region where the true objective is known to peak. citeturn15search18</w:t>
      </w:r>
      <w:r>
        <w:br/>
      </w:r>
      <w:r>
        <w:br/>
        <w:t xml:space="preserve">2. **Lane B — High‑Variance Exploration:**  </w:t>
      </w:r>
      <w:r>
        <w:br/>
        <w:t xml:space="preserve">   The UCB plateau in the low‑x6 region and the PCA‑driven spread of candidates show that the model maintains healthy exploration. citeturn15search18</w:t>
      </w:r>
      <w:r>
        <w:br/>
      </w:r>
      <w:r>
        <w:br/>
        <w:t xml:space="preserve">3. **Stability from Week‑7 to Week‑9:**  </w:t>
      </w:r>
      <w:r>
        <w:br/>
        <w:t xml:space="preserve">   Week‑7 had deviated slightly off‑ridge. The Week‑9 charts show that posterior and EI curvature have realigned correctly with the true surface, meaning the surrogate is now more stable. citeturn15search18</w:t>
      </w:r>
      <w:r>
        <w:br/>
      </w:r>
      <w:r>
        <w:br/>
        <w:t xml:space="preserve">4. **Improved Y Outcome:**  </w:t>
      </w:r>
      <w:r>
        <w:br/>
        <w:t xml:space="preserve">   The new Y≈9.63 demonstrates tangible learning progress and validates the Week‑8 parameter adjustments (slightly higher kappa, PCA enabled, ARD off).</w:t>
      </w:r>
      <w:r>
        <w:br/>
      </w:r>
      <w:r>
        <w:br/>
        <w:t>## 5. Final Assessment</w:t>
      </w:r>
      <w:r>
        <w:br/>
        <w:t xml:space="preserve">• The Week‑9 Function‑8 charts confirm that the strategy is working: the surrogate is tightened, the EI ridge is well‑defined, and exploration remains active but controlled.  </w:t>
      </w:r>
      <w:r>
        <w:br/>
        <w:t xml:space="preserve">• The new Week‑9 query point matches the predicted optimal corridor and produced a higher Y than Week‑7.  </w:t>
      </w:r>
      <w:r>
        <w:br/>
        <w:t xml:space="preserve">• The dual‑lane mechanism is achieving both exploitation of the ridge and maintenance of exploratory reach.  </w:t>
      </w:r>
      <w:r>
        <w:br/>
      </w:r>
      <w:r>
        <w:lastRenderedPageBreak/>
        <w:t>• Based on the trajectory from Week‑6 → Week‑7 → Week‑9, the optimizer is converging in the correct region while still probing alternative basins.</w:t>
      </w:r>
      <w:r>
        <w:br/>
      </w:r>
      <w:r>
        <w:br/>
        <w:t>Summary: **The Week‑9 step represents a successful correction and a healthy progression of the Function‑8 optimization.**</w:t>
      </w:r>
      <w:r>
        <w:br/>
      </w:r>
    </w:p>
    <w:sectPr w:rsidR="00C1219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07959033">
    <w:abstractNumId w:val="8"/>
  </w:num>
  <w:num w:numId="2" w16cid:durableId="283655495">
    <w:abstractNumId w:val="6"/>
  </w:num>
  <w:num w:numId="3" w16cid:durableId="1054428446">
    <w:abstractNumId w:val="5"/>
  </w:num>
  <w:num w:numId="4" w16cid:durableId="1799181872">
    <w:abstractNumId w:val="4"/>
  </w:num>
  <w:num w:numId="5" w16cid:durableId="389962461">
    <w:abstractNumId w:val="7"/>
  </w:num>
  <w:num w:numId="6" w16cid:durableId="1086728944">
    <w:abstractNumId w:val="3"/>
  </w:num>
  <w:num w:numId="7" w16cid:durableId="1424522822">
    <w:abstractNumId w:val="2"/>
  </w:num>
  <w:num w:numId="8" w16cid:durableId="1087338807">
    <w:abstractNumId w:val="1"/>
  </w:num>
  <w:num w:numId="9" w16cid:durableId="4256570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0497"/>
    <w:rsid w:val="00AA1D8D"/>
    <w:rsid w:val="00B47730"/>
    <w:rsid w:val="00C12197"/>
    <w:rsid w:val="00C417F4"/>
    <w:rsid w:val="00CB0664"/>
    <w:rsid w:val="00EA0D7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56402E"/>
  <w14:defaultImageDpi w14:val="300"/>
  <w15:docId w15:val="{3974EA5D-DC2B-4FB6-A426-391481C527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620</Words>
  <Characters>3849</Characters>
  <Application>Microsoft Office Word</Application>
  <DocSecurity>0</DocSecurity>
  <Lines>91</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4468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Antonius Meliat</cp:lastModifiedBy>
  <cp:revision>2</cp:revision>
  <dcterms:created xsi:type="dcterms:W3CDTF">2013-12-23T23:15:00Z</dcterms:created>
  <dcterms:modified xsi:type="dcterms:W3CDTF">2026-02-27T10:10:00Z</dcterms:modified>
  <cp:category/>
</cp:coreProperties>
</file>