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Function_2_Week_4_Analysis</w:t>
      </w:r>
    </w:p>
    <w:p>
      <w:r>
        <w:t>This report analyses the Week 4 output charts for Function 2, evaluates the effectiveness of the hybrid Bayesian optimisation strategy, and comments on the newly proposed query point. It leverages insights from the Week 3 analysis to explain changes in the surrogate and acquisition surfaces.</w:t>
      </w:r>
    </w:p>
    <w:p>
      <w:pPr>
        <w:pStyle w:val="Heading1"/>
      </w:pPr>
      <w:r>
        <w:t>1) Week 3 Context and Findings</w:t>
      </w:r>
    </w:p>
    <w:p>
      <w:r>
        <w:t>Week 3 established a structured GP posterior with EI hotspots near x1≈0.69–0.70 and low x2≈0.05–0.13, leading to a portal-ready suggestion 0.696647–0.127504 within that basin. The Week 3 round also appended a high-x1 edge sample (≈0.994, 0.180) that did not improve Y, nudging focus toward the mid-x1, low-x2 basin.</w:t>
      </w:r>
    </w:p>
    <w:p>
      <w:pPr>
        <w:pStyle w:val="Heading1"/>
      </w:pPr>
      <w:r>
        <w:t>2) Week 4 Charts: Key Observations</w:t>
      </w:r>
    </w:p>
    <w:p>
      <w:r>
        <w:t>- Dataset update: after appending the Week 3 query, shapes are X: (13, 2), Y: (13).</w:t>
      </w:r>
    </w:p>
    <w:p>
      <w:r>
        <w:t>- Current incumbent: best observed Y remains 0.611205 at X_best ≈ [0.702637, 0.926564].</w:t>
      </w:r>
    </w:p>
    <w:p>
      <w:r>
        <w:t>- Outcome of the Week 3 candidate: the appended value at 0.696647–0.127504 yielded Y ≈ 0.517716 (non-trivial, but below the incumbent).</w:t>
      </w:r>
    </w:p>
    <w:p>
      <w:r>
        <w:t>- Proposed Week 4 candidates (top-5 by EI) cluster around x1≈0.737 and x2≈0.349, with top-1 0.737561–0.349005—indicating a shift toward moderate x2 while staying near the promising x1 band.</w:t>
      </w:r>
    </w:p>
    <w:p>
      <w:pPr>
        <w:pStyle w:val="Heading1"/>
      </w:pPr>
      <w:r>
        <w:t>3) Effectiveness of the Updated Strategy</w:t>
      </w:r>
    </w:p>
    <w:p>
      <w:r>
        <w:t>Effectiveness is strong: Week 3 exploration produced informative, mid-range performance rather than a pure zero, allowing the Week 4 acquisition to narrow onto a more promising ridge (x1≈0.73) while testing a higher x2 level (≈0.35). With SVM gating and ARD screening enabled in the notebook configuration, candidate filtering appears to steer EI ranking toward coherent local structure without over-constraining diversity.</w:t>
      </w:r>
    </w:p>
    <w:p>
      <w:pPr>
        <w:pStyle w:val="Heading1"/>
      </w:pPr>
      <w:r>
        <w:t>4) Comment on the Week 4 Proposed Query Point</w:t>
      </w:r>
    </w:p>
    <w:p>
      <w:r>
        <w:t>Top-1 proposed query: 0.737561–0.349005. This point lies slightly above the Week 3 x1 band and at a moderate x2, balancing exploitation of the structured mean around x1≈0.73 with exploration away from the incumbent high-x2 ≈0.93. If this area yields an uplift beyond 0.611205, follow with local trust-region refinement (±0.02–0.03).</w:t>
      </w:r>
    </w:p>
    <w:p>
      <w:pPr>
        <w:pStyle w:val="Heading1"/>
      </w:pPr>
      <w:r>
        <w:t>5) Risks &amp; Mitigations</w:t>
      </w:r>
    </w:p>
    <w:p>
      <w:r>
        <w:t>- Local optima near x1≈0.7–0.74: retain 1 global LHS probe per round to avoid premature convergence.</w:t>
      </w:r>
    </w:p>
    <w:p>
      <w:r>
        <w:t>- Acquisition plateau: if EI flattens, increase UCB κ and/or EI ξ and add a second strip at x2≈0.20–0.30.</w:t>
      </w:r>
    </w:p>
    <w:p>
      <w:r>
        <w:t>- Noise/heteroscedasticity: keep Y standardisation; inspect residuals and consider robust kernels if needed.</w:t>
      </w:r>
    </w:p>
    <w:p>
      <w:pPr>
        <w:pStyle w:val="Heading1"/>
      </w:pPr>
      <w:r>
        <w:t>6) Recommended Next Steps</w:t>
      </w:r>
    </w:p>
    <w:p>
      <w:r>
        <w:t>1) Submit the top-1 query 0.737561–0.349005.</w:t>
      </w:r>
    </w:p>
    <w:p>
      <w:r>
        <w:t>2) Refit the GP after receiving the outcome; replot EI/UCB and compare mass near (0.73, 0.35) versus alternatives.</w:t>
      </w:r>
    </w:p>
    <w:p>
      <w:r>
        <w:t>3) If improvement observed, lock a trust region ±0.02–0.03 and run 1–2 exploitation-biased rounds; if not, widen exploration (κ/ξ) and include at least one global probe.</w:t>
      </w:r>
    </w:p>
    <w:p>
      <w:pPr>
        <w:pStyle w:val="Heading1"/>
      </w:pPr>
      <w:r>
        <w:t>Appendix: Key Values from Week 4 Notebook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 size after update</w:t>
            </w:r>
          </w:p>
        </w:tc>
        <w:tc>
          <w:tcPr>
            <w:tcW w:type="dxa" w:w="4320"/>
          </w:tcPr>
          <w:p>
            <w:r>
              <w:t>X: (13, 2), Y: (13,)</w:t>
            </w:r>
          </w:p>
        </w:tc>
      </w:tr>
      <w:tr>
        <w:tc>
          <w:tcPr>
            <w:tcW w:type="dxa" w:w="4320"/>
          </w:tcPr>
          <w:p>
            <w:r>
              <w:t>Current best Y &amp; location</w:t>
            </w:r>
          </w:p>
        </w:tc>
        <w:tc>
          <w:tcPr>
            <w:tcW w:type="dxa" w:w="4320"/>
          </w:tcPr>
          <w:p>
            <w:r>
              <w:t>0.611205 @ [0.702637, 0.926564]</w:t>
            </w:r>
          </w:p>
        </w:tc>
      </w:tr>
      <w:tr>
        <w:tc>
          <w:tcPr>
            <w:tcW w:type="dxa" w:w="4320"/>
          </w:tcPr>
          <w:p>
            <w:r>
              <w:t>Week 3 query &amp; outcome</w:t>
            </w:r>
          </w:p>
        </w:tc>
        <w:tc>
          <w:tcPr>
            <w:tcW w:type="dxa" w:w="4320"/>
          </w:tcPr>
          <w:p>
            <w:r>
              <w:t>0.696647–0.127504 → ~0.517716</w:t>
            </w:r>
          </w:p>
        </w:tc>
      </w:tr>
      <w:tr>
        <w:tc>
          <w:tcPr>
            <w:tcW w:type="dxa" w:w="4320"/>
          </w:tcPr>
          <w:p>
            <w:r>
              <w:t>Week 4 top-1 proposed query</w:t>
            </w:r>
          </w:p>
        </w:tc>
        <w:tc>
          <w:tcPr>
            <w:tcW w:type="dxa" w:w="4320"/>
          </w:tcPr>
          <w:p>
            <w:r>
              <w:t>0.737561–0.349005</w:t>
            </w:r>
          </w:p>
        </w:tc>
      </w:tr>
      <w:tr>
        <w:tc>
          <w:tcPr>
            <w:tcW w:type="dxa" w:w="4320"/>
          </w:tcPr>
          <w:p>
            <w:r>
              <w:t>Week 4 EI-ranked top-5</w:t>
            </w:r>
          </w:p>
        </w:tc>
        <w:tc>
          <w:tcPr>
            <w:tcW w:type="dxa" w:w="4320"/>
          </w:tcPr>
          <w:p>
            <w:r>
              <w:t>0.737561–0.349005; 0.737259–0.349005; 0.737097–0.349005; 0.737904–0.349005; 0.738050–0.349005</w:t>
            </w:r>
          </w:p>
        </w:tc>
      </w:tr>
      <w:tr>
        <w:tc>
          <w:tcPr>
            <w:tcW w:type="dxa" w:w="4320"/>
          </w:tcPr>
          <w:p>
            <w:r>
              <w:t>Method highlights</w:t>
            </w:r>
          </w:p>
        </w:tc>
        <w:tc>
          <w:tcPr>
            <w:tcW w:type="dxa" w:w="4320"/>
          </w:tcPr>
          <w:p>
            <w:r>
              <w:t>GP+Matern(ARD), trust-region, LHS, SVM gating, EI/UCB ranking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