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Function_3_Week_4_Analysis</w:t>
      </w:r>
    </w:p>
    <w:p>
      <w:r>
        <w:t>This report analyses the Week 4 output charts for Function 3, evaluates the effectiveness of the hybrid Bayesian optimisation strategy, and comments on the newly proposed query point. It leverages insights from the Week 3 analysis to explain how the surrogate and acquisition surfaces have shifted.</w:t>
      </w:r>
    </w:p>
    <w:p>
      <w:pPr>
        <w:pStyle w:val="Heading1"/>
      </w:pPr>
      <w:r>
        <w:t>1) Week 3 Context and Findings</w:t>
      </w:r>
    </w:p>
    <w:p>
      <w:r>
        <w:t>Week 3 added a probe at high x1 and x2 with very low x3 (≈0.03), which yielded a worse score. The GP’s EI/UCB surfaces then concentrated on a ridge at high x1 and x2 with moderate x3≈0.39–0.40, leading to the portal-ready suggestion 0.914181–0.920879–0.398579. The current best observation at that time remained Y≈-0.034835 at X_best≈[0.492581, 0.611593, 0.340176].</w:t>
      </w:r>
    </w:p>
    <w:p>
      <w:pPr>
        <w:pStyle w:val="Heading1"/>
      </w:pPr>
      <w:r>
        <w:t>2) Week 4 Charts: Key Observations</w:t>
      </w:r>
    </w:p>
    <w:p>
      <w:r>
        <w:t>- Dataset update: after appending the Week 3 portal suggestion, shapes are X: (18, 3), Y: (18).</w:t>
      </w:r>
    </w:p>
    <w:p>
      <w:r>
        <w:t>- Incumbent status: current best Y remains -0.034835 at X_best ≈ [0.492581, 0.611593, 0.340176].</w:t>
      </w:r>
    </w:p>
    <w:p>
      <w:r>
        <w:t>- Outcome of the Week 3 portal suggestion: 0.914181–0.920879–0.398579 produced Y ≈ -0.065702 (worse than incumbent).</w:t>
      </w:r>
    </w:p>
    <w:p>
      <w:r>
        <w:t>- Week 4 proposals: EI now concentrates near the incumbent for x1 and x2, but favours a higher x3≈0.51. The top-5 EI-ranked candidates are tightly clustered around 0.475014–0.627834–0.510xxx, with the portal top-1 set to 0.475014–0.627834–0.510094.</w:t>
      </w:r>
    </w:p>
    <w:p>
      <w:pPr>
        <w:pStyle w:val="Heading1"/>
      </w:pPr>
      <w:r>
        <w:t>3) Effectiveness of the Updated Strategy</w:t>
      </w:r>
    </w:p>
    <w:p>
      <w:r>
        <w:t>The strategy is adapting as intended for a 3D setting with transformed outcomes. Week 3 explored the high–high (x1, x2) edge with low x3 and then targeted a moderate x3≈0.40 ridge; the registered outcome (-0.0657) provided negative evidence for that slice. In Week 4, the acquisition surfaces pivot back toward the incumbent neighbourhood in x1 and x2 while testing a slightly higher x3≈0.51. This reflects a healthy balance of local exploitation (around the best-known region) and directed exploration along the most influential dimension.</w:t>
      </w:r>
    </w:p>
    <w:p>
      <w:pPr>
        <w:pStyle w:val="Heading1"/>
      </w:pPr>
      <w:r>
        <w:t>4) Comment on the Week 4 Proposed Query Point</w:t>
      </w:r>
    </w:p>
    <w:p>
      <w:r>
        <w:t>Top-1 proposed query: 0.475014–0.627834–0.510094. This is close to the incumbent in the first two dimensions but increases x3 from ≈0.34 to ≈0.51, consistent with the model’s indication that the third dimension may admit improvement closer to x3≈0.5. Given the objective is framed as maximisation (i.e., making a negative score less negative), this is an appropriate exploitation-plus-variation step.</w:t>
      </w:r>
    </w:p>
    <w:p>
      <w:pPr>
        <w:pStyle w:val="Heading1"/>
      </w:pPr>
      <w:r>
        <w:t>5) Risks &amp; Mitigations</w:t>
      </w:r>
    </w:p>
    <w:p>
      <w:r>
        <w:t>- Local trapping near incumbent: retain one global LHS probe per round to hedge against missing a second mode.</w:t>
      </w:r>
    </w:p>
    <w:p>
      <w:r>
        <w:t>- Acquisition flattening: if EI becomes flat around the trust region, increase UCB κ or EI ξ, or add a contrasting probe with lower x2 or mid x1 to test for another basin.</w:t>
      </w:r>
    </w:p>
    <w:p>
      <w:r>
        <w:t>- Noise/transform considerations: outcomes are predominantly negative (side-effect framing); ensure target transform and standardisation are appropriate; consider mild robustness settings if residuals suggest heteroscedasticity.</w:t>
      </w:r>
    </w:p>
    <w:p>
      <w:pPr>
        <w:pStyle w:val="Heading1"/>
      </w:pPr>
      <w:r>
        <w:t>6) Recommended Next Steps</w:t>
      </w:r>
    </w:p>
    <w:p>
      <w:r>
        <w:t>1) Submit the top-1 query 0.475014–0.627834–0.510094.</w:t>
      </w:r>
    </w:p>
    <w:p>
      <w:r>
        <w:t>2) Refit the GP after the new observation; replot EI/UCB and compare EI mass along x3 near 0.48–0.54 versus the earlier 0.38–0.42 band.</w:t>
      </w:r>
    </w:p>
    <w:p>
      <w:r>
        <w:t>3) If improvement (Y less negative) is observed, lock a trust region (±0.03) around the best and run 1–2 exploitation-biased rounds; if not, widen exploration (increase κ/ξ) and diversify along x2 or mid x1.</w:t>
      </w:r>
    </w:p>
    <w:p>
      <w:pPr>
        <w:pStyle w:val="Heading1"/>
      </w:pPr>
      <w:r>
        <w:t>Appendix: Key Values from Week 4 Notebook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Dataset size after update</w:t>
            </w:r>
          </w:p>
        </w:tc>
        <w:tc>
          <w:tcPr>
            <w:tcW w:type="dxa" w:w="4320"/>
          </w:tcPr>
          <w:p>
            <w:r>
              <w:t>X: (18, 3), Y: (18,)</w:t>
            </w:r>
          </w:p>
        </w:tc>
      </w:tr>
      <w:tr>
        <w:tc>
          <w:tcPr>
            <w:tcW w:type="dxa" w:w="4320"/>
          </w:tcPr>
          <w:p>
            <w:r>
              <w:t>Current best Y &amp; location</w:t>
            </w:r>
          </w:p>
        </w:tc>
        <w:tc>
          <w:tcPr>
            <w:tcW w:type="dxa" w:w="4320"/>
          </w:tcPr>
          <w:p>
            <w:r>
              <w:t>-0.034835 @ [0.492581, 0.611593, 0.340176]</w:t>
            </w:r>
          </w:p>
        </w:tc>
      </w:tr>
      <w:tr>
        <w:tc>
          <w:tcPr>
            <w:tcW w:type="dxa" w:w="4320"/>
          </w:tcPr>
          <w:p>
            <w:r>
              <w:t>Week 3 portal suggestion &amp; outcome</w:t>
            </w:r>
          </w:p>
        </w:tc>
        <w:tc>
          <w:tcPr>
            <w:tcW w:type="dxa" w:w="4320"/>
          </w:tcPr>
          <w:p>
            <w:r>
              <w:t>0.914181–0.920879–0.398579 → ~-0.065702</w:t>
            </w:r>
          </w:p>
        </w:tc>
      </w:tr>
      <w:tr>
        <w:tc>
          <w:tcPr>
            <w:tcW w:type="dxa" w:w="4320"/>
          </w:tcPr>
          <w:p>
            <w:r>
              <w:t>Week 4 top-1 proposed query</w:t>
            </w:r>
          </w:p>
        </w:tc>
        <w:tc>
          <w:tcPr>
            <w:tcW w:type="dxa" w:w="4320"/>
          </w:tcPr>
          <w:p>
            <w:r>
              <w:t>0.475014–0.627834–0.510094</w:t>
            </w:r>
          </w:p>
        </w:tc>
      </w:tr>
      <w:tr>
        <w:tc>
          <w:tcPr>
            <w:tcW w:type="dxa" w:w="4320"/>
          </w:tcPr>
          <w:p>
            <w:r>
              <w:t>Week 4 EI-ranked top-5</w:t>
            </w:r>
          </w:p>
        </w:tc>
        <w:tc>
          <w:tcPr>
            <w:tcW w:type="dxa" w:w="4320"/>
          </w:tcPr>
          <w:p>
            <w:r>
              <w:t>All at x ≈ (0.475014, 0.627834, 0.510±0.0003)</w:t>
            </w:r>
          </w:p>
        </w:tc>
      </w:tr>
      <w:tr>
        <w:tc>
          <w:tcPr>
            <w:tcW w:type="dxa" w:w="4320"/>
          </w:tcPr>
          <w:p>
            <w:r>
              <w:t>Method highlights</w:t>
            </w:r>
          </w:p>
        </w:tc>
        <w:tc>
          <w:tcPr>
            <w:tcW w:type="dxa" w:w="4320"/>
          </w:tcPr>
          <w:p>
            <w:r>
              <w:t>GP+Matern(ARD), trust-region, LHS, SVM gating, EI/UCB ranking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