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Function_4_Week_4_Analysis</w:t>
      </w:r>
    </w:p>
    <w:p>
      <w:r>
        <w:t>This report analyses the Week 4 output charts for Function 4, evaluates the effectiveness of the hybrid Bayesian optimisation strategy, and comments on the newly proposed query point. It incorporates insights from the Week 3 analysis to explain how the surrogate and acquisition surfaces have shifted.</w:t>
      </w:r>
    </w:p>
    <w:p>
      <w:pPr>
        <w:pStyle w:val="Heading1"/>
      </w:pPr>
      <w:r>
        <w:t>1) Week 3 Context and Findings</w:t>
      </w:r>
    </w:p>
    <w:p>
      <w:r>
        <w:t>Week 3 added a mid‑range probe around (x1≈0.44, x2≈0.46, x3≈0.29, x4≈0.46) that became the temporary incumbent (Y≈−1.8928), and concentrated EI in a compact basin: x1≈0.42–0.47, x2≈0.42–0.46, x3≈0.30–0.32 (with a secondary near 0.39), x4≈0.44–0.50. The portal suggestion 0.445416–0.438473–0.313825–0.444112 sat within this basin. (Source: Function_4_Week_3_Analysis_updated)</w:t>
      </w:r>
    </w:p>
    <w:p>
      <w:pPr>
        <w:pStyle w:val="Heading1"/>
      </w:pPr>
      <w:r>
        <w:t>2) Week 4 Charts: Key Observations</w:t>
      </w:r>
    </w:p>
    <w:p>
      <w:r>
        <w:t>- Dataset update: after appending the Week 3 portal suggestion, shapes are X: (33, 4), Y: (33).</w:t>
      </w:r>
    </w:p>
    <w:p>
      <w:r>
        <w:t>- Outcome of the Week 3 suggestion: 0.445416–0.438473–0.313825–0.444112 yielded Y≈−0.7424 (worse than the prior mid‑range incumbent).</w:t>
      </w:r>
    </w:p>
    <w:p>
      <w:r>
        <w:t>- Current best per Week 4 log: Y≈1747.7115 at X_best≈[0.445848, 0.740499, 0.995147, 0.922830].</w:t>
      </w:r>
    </w:p>
    <w:p>
      <w:r>
        <w:t>- Proposed Week 4 candidates: EI‑ranked top‑5 all centre on x1≈0.577766, x2≈0.500231, with very low x3 (≈0.0003–0.0204) and very low x4 (≈0.0026–0.0212); portal top‑1 is 0.577766–0.500231–0.000306–0.008202.</w:t>
      </w:r>
    </w:p>
    <w:p>
      <w:pPr>
        <w:pStyle w:val="Heading1"/>
      </w:pPr>
      <w:r>
        <w:t>3) Effectiveness of the Updated Strategy</w:t>
      </w:r>
    </w:p>
    <w:p>
      <w:r>
        <w:t>The strategy is adapting: after the Week‑3 basin failed to improve (Y≈−0.7424), the Week‑4 acquisition pivots to a different slice of the space—moderate x1/x2 with near‑zero x3/x4—likely reflecting both residual uncertainty and a reshaped posterior mean away from the mid‑range cluster. Despite an apparent incumbent with very high Y at high x3/x4, the EI list suggests exploring a contrasting corner to validate whether large improvements occur in low x3/x4 regimes or if uncertainty dominates there.</w:t>
      </w:r>
    </w:p>
    <w:p>
      <w:pPr>
        <w:pStyle w:val="Heading1"/>
      </w:pPr>
      <w:r>
        <w:t>4) Comment on the Week 4 Proposed Query Point</w:t>
      </w:r>
    </w:p>
    <w:p>
      <w:r>
        <w:t>Top‑1 proposed query: 0.577766–0.500231–0.000306–0.008202. This candidate probes a region with very small x3 and x4 while staying around mid‑range x1/x2. Given the 4D function’s potential for multiple local optima and the negative evidence from the Week‑3 basin, this is a sensible exploration step that balances exploitation of structured mean along x1/x2 with strong exploration along x3/x4.</w:t>
      </w:r>
    </w:p>
    <w:p>
      <w:pPr>
        <w:pStyle w:val="Heading1"/>
      </w:pPr>
      <w:r>
        <w:t>5) Risks &amp; Mitigations</w:t>
      </w:r>
    </w:p>
    <w:p>
      <w:r>
        <w:t>- Inconsistency in incumbent reporting (very large positive Y alongside negative recent results) suggests verifying Y scaling/transform and standardisation before the next fit.</w:t>
      </w:r>
    </w:p>
    <w:p>
      <w:r>
        <w:t>- Local trapping: keep at least one global LHS probe per round to preserve coverage beyond the candidate cluster.</w:t>
      </w:r>
    </w:p>
    <w:p>
      <w:r>
        <w:t>- Acquisition flattening: if EI flattens near low x3/x4, increase UCB κ or EI ξ and test a counterfactual band (e.g., x3≈0.38–0.42 with x1/x2 near 0.55–0.60 and moderate x4).</w:t>
      </w:r>
    </w:p>
    <w:p>
      <w:pPr>
        <w:pStyle w:val="Heading1"/>
      </w:pPr>
      <w:r>
        <w:t>6) Recommended Next Steps</w:t>
      </w:r>
    </w:p>
    <w:p>
      <w:r>
        <w:t>1) Submit the top‑1 query 0.577766–0.500231–0.000306–0.008202.</w:t>
      </w:r>
    </w:p>
    <w:p>
      <w:r>
        <w:t>2) Refit the GP after the outcome; replot EI/UCB and compare acquisition mass between the low‑x3/x4 slice and the previously explored mid‑range basin.</w:t>
      </w:r>
    </w:p>
    <w:p>
      <w:r>
        <w:t>3) If improvement is observed relative to the best validated value, tighten a trust region (±0.03) around the new best; otherwise, widen exploration (increase κ/ξ) and add a contrasting probe in the x3≈0.38–0.42 band.</w:t>
      </w:r>
    </w:p>
    <w:p>
      <w:pPr>
        <w:pStyle w:val="Heading1"/>
      </w:pPr>
      <w:r>
        <w:t>Appendix: Key Values from Week 4 Notebook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Dataset size after update</w:t>
            </w:r>
          </w:p>
        </w:tc>
        <w:tc>
          <w:tcPr>
            <w:tcW w:type="dxa" w:w="4320"/>
          </w:tcPr>
          <w:p>
            <w:r>
              <w:t>X: (33, 4), Y: (33,)</w:t>
            </w:r>
          </w:p>
        </w:tc>
      </w:tr>
      <w:tr>
        <w:tc>
          <w:tcPr>
            <w:tcW w:type="dxa" w:w="4320"/>
          </w:tcPr>
          <w:p>
            <w:r>
              <w:t>Week 3 suggestion &amp; outcome</w:t>
            </w:r>
          </w:p>
        </w:tc>
        <w:tc>
          <w:tcPr>
            <w:tcW w:type="dxa" w:w="4320"/>
          </w:tcPr>
          <w:p>
            <w:r>
              <w:t>0.445416–0.438473–0.313825–0.444112 → ~−0.7424</w:t>
            </w:r>
          </w:p>
        </w:tc>
      </w:tr>
      <w:tr>
        <w:tc>
          <w:tcPr>
            <w:tcW w:type="dxa" w:w="4320"/>
          </w:tcPr>
          <w:p>
            <w:r>
              <w:t>Week 4 current best (per log)</w:t>
            </w:r>
          </w:p>
        </w:tc>
        <w:tc>
          <w:tcPr>
            <w:tcW w:type="dxa" w:w="4320"/>
          </w:tcPr>
          <w:p>
            <w:r>
              <w:t>Y≈1747.7115 @ [0.445848, 0.740499, 0.995147, 0.922830]</w:t>
            </w:r>
          </w:p>
        </w:tc>
      </w:tr>
      <w:tr>
        <w:tc>
          <w:tcPr>
            <w:tcW w:type="dxa" w:w="4320"/>
          </w:tcPr>
          <w:p>
            <w:r>
              <w:t>Week 4 top‑1 proposed query</w:t>
            </w:r>
          </w:p>
        </w:tc>
        <w:tc>
          <w:tcPr>
            <w:tcW w:type="dxa" w:w="4320"/>
          </w:tcPr>
          <w:p>
            <w:r>
              <w:t>0.577766–0.500231–0.000306–0.008202</w:t>
            </w:r>
          </w:p>
        </w:tc>
      </w:tr>
      <w:tr>
        <w:tc>
          <w:tcPr>
            <w:tcW w:type="dxa" w:w="4320"/>
          </w:tcPr>
          <w:p>
            <w:r>
              <w:t>Week 4 EI‑ranked top‑5</w:t>
            </w:r>
          </w:p>
        </w:tc>
        <w:tc>
          <w:tcPr>
            <w:tcW w:type="dxa" w:w="4320"/>
          </w:tcPr>
          <w:p>
            <w:r>
              <w:t>All near (0.577766, 0.500231, 0.0003–0.0204, 0.0026–0.0212)</w:t>
            </w:r>
          </w:p>
        </w:tc>
      </w:tr>
      <w:tr>
        <w:tc>
          <w:tcPr>
            <w:tcW w:type="dxa" w:w="4320"/>
          </w:tcPr>
          <w:p>
            <w:r>
              <w:t>Method highlights</w:t>
            </w:r>
          </w:p>
        </w:tc>
        <w:tc>
          <w:tcPr>
            <w:tcW w:type="dxa" w:w="4320"/>
          </w:tcPr>
          <w:p>
            <w:r>
              <w:t>GP+Matern(ARD), trust‑region, LHS, SVM gating, EI/UCB ranking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