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Function_5_Week_4_Analysis</w:t>
      </w:r>
    </w:p>
    <w:p>
      <w:r>
        <w:t>This report analyses the Week 4 output charts for Function 5 (a typically unimodal 4D yield function), evaluates the effectiveness of the hybrid Bayesian optimisation strategy, and comments on the newly proposed query point. It incorporates insights from the Week 3 analysis to explain how the surrogate and acquisition surfaces have evolved.</w:t>
      </w:r>
    </w:p>
    <w:p>
      <w:pPr>
        <w:pStyle w:val="Heading1"/>
      </w:pPr>
      <w:r>
        <w:t>1) Week 3 Context and Findings</w:t>
      </w:r>
    </w:p>
    <w:p>
      <w:r>
        <w:t>Week 3 appended a high-yield observation at [0.445848, 0.740499, 0.995147, 0.922830] with Y ≈ 1747.711454, sharpening the surrogate and concentrating EI along a high-yield ridge with x3/x4 near the upper end while varying x1/x2. The portal suggestion 0.803637–0.385430–0.970833–0.993242 reflected a balanced move along that ridge.</w:t>
      </w:r>
    </w:p>
    <w:p>
      <w:pPr>
        <w:pStyle w:val="Heading1"/>
      </w:pPr>
      <w:r>
        <w:t>2) Week 4 Charts: Key Observations</w:t>
      </w:r>
    </w:p>
    <w:p>
      <w:r>
        <w:t>- Dataset update: after appending the Week 3 portal suggestion, shapes are X: (23, 4), Y: (23).</w:t>
      </w:r>
    </w:p>
    <w:p>
      <w:r>
        <w:t>- Current best: Y ≈ 2346.997559 at X_best ≈ [0.803637, 0.385430, 0.970833, 0.993242] (idx 22).</w:t>
      </w:r>
    </w:p>
    <w:p>
      <w:r>
        <w:t>- Week 4 EI-ranked proposed queries cluster around x1≈0.463442, x2≈0.534192, with x3≈0.98–0.985 and x4≈0.999999; portal top‑1 is 0.463442–0.534192–0.984759–0.999999.</w:t>
      </w:r>
    </w:p>
    <w:p>
      <w:pPr>
        <w:pStyle w:val="Heading1"/>
      </w:pPr>
      <w:r>
        <w:t>3) Effectiveness of the Updated Strategy</w:t>
      </w:r>
    </w:p>
    <w:p>
      <w:r>
        <w:t>Effectiveness is high: Week 3’s ridge-focused strategy yielded a strong improvement and Week 4 continues a coherent refinement—keeping x3/x4 near 1.0 while shifting x1/x2 to trace the peak’s shape. The proposals balance exploitation (anchor at high x3/x4) with exploration across x1/x2, consistent with a unimodal yield surface.</w:t>
      </w:r>
    </w:p>
    <w:p>
      <w:pPr>
        <w:pStyle w:val="Heading1"/>
      </w:pPr>
      <w:r>
        <w:t>4) Comment on the Week 4 Proposed Query Point</w:t>
      </w:r>
    </w:p>
    <w:p>
      <w:r>
        <w:t>Top‑1 proposed query: 0.463442–0.534192–0.984759–0.999999. This candidate tests whether the yield ridge continues toward lower x1 (~0.46) and moderate x2 (~0.53) while keeping x3/x4 at the learned optimum. It is an appropriate EI‑maximising move to confirm the ridge orientation and potentially surpass the current best.</w:t>
      </w:r>
    </w:p>
    <w:p>
      <w:pPr>
        <w:pStyle w:val="Heading1"/>
      </w:pPr>
      <w:r>
        <w:t>5) Risks &amp; Mitigations</w:t>
      </w:r>
    </w:p>
    <w:p>
      <w:r>
        <w:t>- Premature exploitation around the ridge: retain at least one global LHS probe per round to hedge against missed secondary peaks.</w:t>
      </w:r>
    </w:p>
    <w:p>
      <w:r>
        <w:t>- Kernel/likelihood sensitivity near extreme outputs: verify Y standardisation and noise bounds so EI is not distorted by very large values.</w:t>
      </w:r>
    </w:p>
    <w:p>
      <w:r>
        <w:t>- Trust‑region control: if multiple probes improve Y, schedule a ±0.03 trust‑region sweep to efficiently localise the maximum.</w:t>
      </w:r>
    </w:p>
    <w:p>
      <w:pPr>
        <w:pStyle w:val="Heading1"/>
      </w:pPr>
      <w:r>
        <w:t>6) Recommended Next Steps</w:t>
      </w:r>
    </w:p>
    <w:p>
      <w:r>
        <w:t>1) Submit the top‑1 query 0.463442–0.534192–0.984759–0.999999.</w:t>
      </w:r>
    </w:p>
    <w:p>
      <w:r>
        <w:t>2) Refit the GP after the outcome; replot EI/UCB and compare EI mass between the lower‑x1/moderate‑x2 corridor and the previous best near x1≈0.80, x2≈0.38.</w:t>
      </w:r>
    </w:p>
    <w:p>
      <w:r>
        <w:t>3) If yield increases, run 1–2 exploitation‑biased rounds in a ±0.03 trust region centred on the new best; otherwise, widen exploration (increase κ/ξ) and add a contrasting probe (e.g., mid x4).</w:t>
      </w:r>
    </w:p>
    <w:p>
      <w:pPr>
        <w:pStyle w:val="Heading1"/>
      </w:pPr>
      <w:r>
        <w:t>Appendix: Key Values from Week 4 Notebook</w:t>
      </w:r>
    </w:p>
    <w:tbl>
      <w:tblPr>
        <w:tblStyle w:val="LightList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Dataset size after update</w:t>
            </w:r>
          </w:p>
        </w:tc>
        <w:tc>
          <w:tcPr>
            <w:tcW w:type="dxa" w:w="4320"/>
          </w:tcPr>
          <w:p>
            <w:r>
              <w:t>X: (23, 4), Y: (23,)</w:t>
            </w:r>
          </w:p>
        </w:tc>
      </w:tr>
      <w:tr>
        <w:tc>
          <w:tcPr>
            <w:tcW w:type="dxa" w:w="4320"/>
          </w:tcPr>
          <w:p>
            <w:r>
              <w:t>Current best Y &amp; location</w:t>
            </w:r>
          </w:p>
        </w:tc>
        <w:tc>
          <w:tcPr>
            <w:tcW w:type="dxa" w:w="4320"/>
          </w:tcPr>
          <w:p>
            <w:r>
              <w:t>2346.997559 @ [0.803637, 0.385430, 0.970833, 0.993242]</w:t>
            </w:r>
          </w:p>
        </w:tc>
      </w:tr>
      <w:tr>
        <w:tc>
          <w:tcPr>
            <w:tcW w:type="dxa" w:w="4320"/>
          </w:tcPr>
          <w:p>
            <w:r>
              <w:t>Week 3 high-yield observation</w:t>
            </w:r>
          </w:p>
        </w:tc>
        <w:tc>
          <w:tcPr>
            <w:tcW w:type="dxa" w:w="4320"/>
          </w:tcPr>
          <w:p>
            <w:r>
              <w:t>[0.445848, 0.740499, 0.995147, 0.922830] → ~1747.711454</w:t>
            </w:r>
          </w:p>
        </w:tc>
      </w:tr>
      <w:tr>
        <w:tc>
          <w:tcPr>
            <w:tcW w:type="dxa" w:w="4320"/>
          </w:tcPr>
          <w:p>
            <w:r>
              <w:t>Week 4 top‑1 proposed query</w:t>
            </w:r>
          </w:p>
        </w:tc>
        <w:tc>
          <w:tcPr>
            <w:tcW w:type="dxa" w:w="4320"/>
          </w:tcPr>
          <w:p>
            <w:r>
              <w:t>0.463442–0.534192–0.984759–0.999999</w:t>
            </w:r>
          </w:p>
        </w:tc>
      </w:tr>
      <w:tr>
        <w:tc>
          <w:tcPr>
            <w:tcW w:type="dxa" w:w="4320"/>
          </w:tcPr>
          <w:p>
            <w:r>
              <w:t>Week 4 EI‑ranked top‑5</w:t>
            </w:r>
          </w:p>
        </w:tc>
        <w:tc>
          <w:tcPr>
            <w:tcW w:type="dxa" w:w="4320"/>
          </w:tcPr>
          <w:p>
            <w:r>
              <w:t>All near (0.463442, 0.534192, 0.9806–0.985, 0.999999)</w:t>
            </w:r>
          </w:p>
        </w:tc>
      </w:tr>
      <w:tr>
        <w:tc>
          <w:tcPr>
            <w:tcW w:type="dxa" w:w="4320"/>
          </w:tcPr>
          <w:p>
            <w:r>
              <w:t>Method highlights</w:t>
            </w:r>
          </w:p>
        </w:tc>
        <w:tc>
          <w:tcPr>
            <w:tcW w:type="dxa" w:w="4320"/>
          </w:tcPr>
          <w:p>
            <w:r>
              <w:t>GP+Matern(ARD), trust‑region, LHS, SVM gating, EI/UCB ranking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