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Function_6_Week_12_Analysis</w:t>
      </w:r>
    </w:p>
    <w:p>
      <w:pPr>
        <w:pStyle w:val="Heading2"/>
      </w:pPr>
      <w:r>
        <w:t>Overview</w:t>
      </w:r>
    </w:p>
    <w:p>
      <w:r>
        <w:t>This analysis reviews the Week 12 output charts for Function 6 with the aim of evaluating the effectiveness of the adopted strategy and commenting on the newly selected query point. The interpretation is grounded in the Week 12 diagnostic visualisations (acquisition plots, surrogate behaviour, diversity and candidate selection) and is explicitly informed by the conclusions drawn in the previous iteration’s Function_6_Week_11_Analysis.</w:t>
      </w:r>
    </w:p>
    <w:p>
      <w:pPr>
        <w:pStyle w:val="Heading2"/>
      </w:pPr>
      <w:r>
        <w:t>Role of Function 6 and Context from Week 11</w:t>
      </w:r>
    </w:p>
    <w:p>
      <w:r>
        <w:t>Function 6 is responsible for target-objective steering and global-survivor insurance within the optimisation workflow, ensuring that high-performing and globally informative candidates persist through acquisition, gating, and ranking. In Week 11, the strategy was shown to be stable and effective: minimum global-survivor constraints were respected, integration with EI/UCB acquisition and trust-region logic was robust, and no premature collapse toward a single basin was observed. These findings establish an expectation that Week 12 behaviour should preserve diversity while continuing to refine high-value regions.</w:t>
      </w:r>
    </w:p>
    <w:p>
      <w:pPr>
        <w:pStyle w:val="Heading2"/>
      </w:pPr>
      <w:r>
        <w:t>Acquisition Behaviour and Surrogate Response (Week 12)</w:t>
      </w:r>
    </w:p>
    <w:p>
      <w:r>
        <w:t>The Week 12 output charts indicate that acquisition continues to be driven by a balanced interaction between Expected Improvement (EI) and Upper Confidence Bound (UCB). EI remains concentrated around a small set of promising regions, reflecting controlled exploitation, while UCB retains sufficient spread to encode residual uncertainty. This confirms that Function 6 is successfully enforcing target-objective steering without allowing exploitation to dominate completely. Compared with Week 11, there is no visible loss of exploratory pressure, indicating continuity of strategy rather than regression.</w:t>
      </w:r>
    </w:p>
    <w:p>
      <w:pPr>
        <w:pStyle w:val="Heading2"/>
      </w:pPr>
      <w:r>
        <w:t>Global-Survivor Insurance and Candidate Diversity</w:t>
      </w:r>
    </w:p>
    <w:p>
      <w:r>
        <w:t>Diagnostics relating to candidate diversity and global-survivor retention in Week 12 confirm that at least the minimum number of globally sampled candidates persist through SVM gating and acquisition ranking. PCA-based clustering and diversity metrics show compact but non-degenerate candidate structure, consistent with late-stage optimisation. As in Week 11, globally distinct points remain embedded in the candidate set, demonstrating that survivor insurance continues to function as intended and that acquisition has not collapsed into a single local mode.</w:t>
      </w:r>
    </w:p>
    <w:p>
      <w:pPr>
        <w:pStyle w:val="Heading2"/>
      </w:pPr>
      <w:r>
        <w:t>Effectiveness of the Overall Strategy</w:t>
      </w:r>
    </w:p>
    <w:p>
      <w:r>
        <w:t>Taken together, the Week 12 charts suggest that the Function 6 strategy remains effective. Trust-region refinement and perturbation-based candidates concentrate search effort in high-value regions, while global sampling and survivor constraints preserve coverage of the broader design space. This mirrors the Week 11 behaviour, which highlighted improved stability relative to earlier iterations. No evidence of instability, acquisition saturation, or excessive filtering is observed in Week 12, confirming that the strategy continues to strike an appropriate balance between refinement and insurance.</w:t>
      </w:r>
    </w:p>
    <w:p>
      <w:pPr>
        <w:pStyle w:val="Heading2"/>
      </w:pPr>
      <w:r>
        <w:t>Assessment of the New Query Point</w:t>
      </w:r>
    </w:p>
    <w:p>
      <w:r>
        <w:t>The newly selected query point in Week 12 lies within a region of strong acquisition support, as indicated by proximity to local EI maxima while remaining within the envelope of surviving global candidates. This placement suggests that the point is exploitative but not myopic: it refines the surrogate in a promising region while still benefiting from the global-survivor guarantees enforced by Function 6. In contrast to scenarios where query points trigger collapse or instability, the Week 12 charts show that the new point integrates cleanly into the existing acquisition landscape, reinforcing rather than disrupting the optimisation trajectory.</w:t>
      </w:r>
    </w:p>
    <w:p>
      <w:pPr>
        <w:pStyle w:val="Heading2"/>
      </w:pPr>
      <w:r>
        <w:t>Comparison with Week 11 and Final Assessment</w:t>
      </w:r>
    </w:p>
    <w:p>
      <w:r>
        <w:t>Relative to Function_6_Week_11_Analysis, Week 12 exhibits strong continuity. The same qualitative properties—stable global-survivor enforcement, compatibility with EI/UCB acquisition, and controlled trust-region behaviour—are preserved. The new query point contributes incremental refinement without undermining diversity or exploration safeguards. Overall, Function 6 continues to perform its intended role effectively, and no configuration changes are recommended at this stage beyond continued monitoring as data volume and dimensional interactions increase.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