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Function_1_Week_13_Analysis</w:t>
      </w:r>
    </w:p>
    <w:p/>
    <w:p>
      <w:r>
        <w:t>Context and Continuity from Week 12</w:t>
      </w:r>
    </w:p>
    <w:p>
      <w:r>
        <w:t>Function 1 continues to exhibit a near-flat objective surface with sparse informative gradients. As established in Week 12, effectiveness is assessed through exploratory coverage, geometric diversity, and uncertainty reduction rather than improvements in objective value.</w:t>
      </w:r>
    </w:p>
    <w:p/>
    <w:p>
      <w:r>
        <w:t>Candidate Distribution and Central Tendency</w:t>
      </w:r>
    </w:p>
    <w:p>
      <w:r>
        <w:t>Top-k candidate means are x1 ≈ 0.659 and x2 ≈ 0.488, with standard deviations of approximately 0.227 and 0.360 respectively. These statistics indicate sustained anisotropic exploration, especially along the second dimension, and no collapse toward a narrow basin compared to Week 12.</w:t>
      </w:r>
    </w:p>
    <w:p/>
    <w:p>
      <w:r>
        <w:t>Acquisition Function Behaviour (EI and UCB)</w:t>
      </w:r>
    </w:p>
    <w:p>
      <w:r>
        <w:t>The Expected Improvement distribution is tightly concentrated between roughly 0.266 and 0.274, while the Upper Confidence Bound spans approximately 2.545 to 2.565. This mirrors Week 12 behaviour and reflects a low-curvature surface where uncertainty, rather than predicted mean improvements, differentiates candidates.</w:t>
      </w:r>
    </w:p>
    <w:p/>
    <w:p>
      <w:r>
        <w:t>Diversity and Geometric Coverage</w:t>
      </w:r>
    </w:p>
    <w:p>
      <w:r>
        <w:t>Per-dimension diversity remains strong with standard deviations [0.227, 0.360] and a mean pairwise distance of approximately 0.619. These metrics confirm that candidate dispersion has been preserved across rounds.</w:t>
      </w:r>
    </w:p>
    <w:p/>
    <w:p>
      <w:r>
        <w:t>Clustering Structure</w:t>
      </w:r>
    </w:p>
    <w:p>
      <w:r>
        <w:t>PCA followed by KMeans reveals two clearly separated clusters, confirming that the optimiser continues to span multiple regions of the design space without degenerating into a single dominant mode.</w:t>
      </w:r>
    </w:p>
    <w:p/>
    <w:p>
      <w:r>
        <w:t>Assessment of the New Query Point</w:t>
      </w:r>
    </w:p>
    <w:p>
      <w:r>
        <w:t>The portal top-1 query for Week 13, [0.732112, 0.009900], probes a previously under-sampled lower boundary of x2 while maintaining a mid-to-high x1. This complements earlier corner probes and expands global coverage without sacrificing acquisition competitiveness.</w:t>
      </w:r>
    </w:p>
    <w:p/>
    <w:p>
      <w:r>
        <w:t>Overall Effectiveness</w:t>
      </w:r>
    </w:p>
    <w:p>
      <w:r>
        <w:t>The Week 13 strategy remains effective: acquisition stability is preserved, diversity metrics are robust, and boundary exploration continues without premature exploitation.</w:t>
      </w:r>
    </w:p>
    <w:p/>
    <w:p>
      <w:r>
        <w:t>Conclusion</w:t>
      </w:r>
    </w:p>
    <w:p>
      <w:r>
        <w:t>Week 13 demonstrates strategic continuity with Week 12. The chosen query point contributes valuable boundary information, reinforcing a disciplined exploration-led approach appropriate for Function 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