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Function_2_Week_13_Analysis</w:t>
      </w:r>
    </w:p>
    <w:p/>
    <w:p>
      <w:r>
        <w:t>Context from Week 12</w:t>
      </w:r>
    </w:p>
    <w:p>
      <w:r>
        <w:t>As established in the Week 12 analysis, Function 2 has entered a late-stage exploitation regime dominated by a boundary-constrained optimum. The solution landscape effectively collapses to a narrow ridge near x2 ≈ 1.0, with meaningful variation confined almost entirely to x1. Consequently, effectiveness must be evaluated through acquisition stability, controlled diversity collapse, and continuity of local refinement rather than global exploration.</w:t>
      </w:r>
    </w:p>
    <w:p/>
    <w:p>
      <w:r>
        <w:t>Week 13 Strategy Diagnostics</w:t>
      </w:r>
    </w:p>
    <w:p>
      <w:r>
        <w:t>The Week 13 output charts confirm strong continuity with the Week 12 strategy. The optimisation configuration (D=2, kappa≈2.3, xi=0.01, trust_radius_base≈0.015, n_global_factor≈8000) continues to prioritise local exploitation using a Gaussian Process surrogate. ARD sensitivities are unavailable for this iteration; however, practical dimensional relevance remains self‑evident through candidate geometry.</w:t>
      </w:r>
    </w:p>
    <w:p/>
    <w:p>
      <w:r>
        <w:t>Candidate diversity metrics show extreme concentration, with per-dimension standard deviations of approximately [0.007, 0.005] and a mean pairwise distance near 0.012. While such collapse would be problematic in early optimisation, it is entirely appropriate here and reinforces the conclusion that the optimiser is confidently refining a one‑dimensional boundary ridge rather than collapsing pathologically.</w:t>
      </w:r>
    </w:p>
    <w:p/>
    <w:p>
      <w:r>
        <w:t>Acquisition Behaviour (EI/UCB)</w:t>
      </w:r>
    </w:p>
    <w:p>
      <w:r>
        <w:t>The EI and UCB distributions shown in the Week 13 charts remain tightly clustered, exhibiting little spread across candidates. This behaviour is characteristic of a well‑calibrated surrogate operating near convergence, where predicted improvements are necessarily marginal and dominance is determined by subtle uncertainty gradients. Importantly, there is no evidence of acquisition instability, numerical degeneracy, or spurious uncertainty inflation.</w:t>
      </w:r>
    </w:p>
    <w:p/>
    <w:p>
      <w:r>
        <w:t>Clustering and Geometry</w:t>
      </w:r>
    </w:p>
    <w:p>
      <w:r>
        <w:t>PCA and clustering diagnostics exhibit a single dominant cluster with negligible dispersion, consistent with the observed diversity metrics. This confirms the absence of competing optima or latent structure elsewhere in the domain. In comparison to Week 12, the geometric picture is unchanged, reinforcing that the optimiser is behaving deterministically and predictably rather than oscillating between modes.</w:t>
      </w:r>
    </w:p>
    <w:p/>
    <w:p>
      <w:r>
        <w:t>Assessment of the New Query Point</w:t>
      </w:r>
    </w:p>
    <w:p>
      <w:r>
        <w:t>The proposed Week 13 portal query is:</w:t>
      </w:r>
    </w:p>
    <w:p/>
    <w:p>
      <w:r>
        <w:t xml:space="preserve">    x = [0.645282, 0.964842]</w:t>
      </w:r>
    </w:p>
    <w:p/>
    <w:p>
      <w:r>
        <w:t>This point lies squarely within the established high‑value corridor close to the x2 upper boundary and introduces only a small perturbation in x1 relative to both the Week 12 query and the incumbent best observation (previously near [0.688, 0.999999]). The clustering of all top‑5 proposals around this region indicates that the surrogate has high confidence in the local optimum structure.</w:t>
      </w:r>
    </w:p>
    <w:p/>
    <w:p>
      <w:r>
        <w:t>From a strategic perspective, this query is well‑justified. It maximises informational value by tightening posterior uncertainty along the ridge while avoiding unnecessary exploration in dimensions already identified as irrelevant. Even if the observed objective value yields only a marginal gain or confirms a plateau, the query contributes to refining local curvature estimates and improving confidence in convergence.</w:t>
      </w:r>
    </w:p>
    <w:p/>
    <w:p>
      <w:r>
        <w:t>Effectiveness Evaluation</w:t>
      </w:r>
    </w:p>
    <w:p>
      <w:r>
        <w:t>Against the Week 12 criteria, the Week 13 strategy remains effective:</w:t>
      </w:r>
    </w:p>
    <w:p>
      <w:r>
        <w:t>• Acquisition functions are stable and discriminative at fine resolution</w:t>
      </w:r>
    </w:p>
    <w:p>
      <w:r>
        <w:t>• Diversity collapse is controlled and appropriate for late-stage exploitation</w:t>
      </w:r>
    </w:p>
    <w:p>
      <w:r>
        <w:t>• Candidate geometry confirms one‑dimensional ridge behaviour</w:t>
      </w:r>
    </w:p>
    <w:p>
      <w:r>
        <w:t>• Query placement is coherent and non‑redundant</w:t>
      </w:r>
    </w:p>
    <w:p/>
    <w:p>
      <w:r>
        <w:t>There is no indication that the optimiser is stagnating prematurely or missing significant unexplored structure.</w:t>
      </w:r>
    </w:p>
    <w:p/>
    <w:p>
      <w:r>
        <w:t>Conclusion</w:t>
      </w:r>
    </w:p>
    <w:p>
      <w:r>
        <w:t>Week 13 represents deliberate continuity rather than adjustment for Function 2. The optimisation process remains firmly in a disciplined exploitation phase, appropriately focused on incremental refinement along a known boundary‑constrained optimum. The new query point is strategically sound and consistent with both the Week 12 analysis and Bayesian optimisation best practice for near‑converged problems.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