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Function_3_Week_13_Analysis</w:t>
      </w:r>
    </w:p>
    <w:p>
      <w:r>
        <w:t>Overview and Continuity with Week 12:</w:t>
        <w:br/>
        <w:t>Function 3 continues to operate as an exploration-leaning Bayesian Optimisation component. As already established in the Week 12 analysis, its success criteria are global coverage, preservation of epistemic uncertainty, and avoidance of premature convergence rather than immediate objective improvement. The Week 13 outputs should therefore be interpreted through this lens.</w:t>
      </w:r>
    </w:p>
    <w:p>
      <w:r>
        <w:t>Analysis of Output Charts:</w:t>
        <w:br/>
        <w:t>Across the Week 13 diagnostic charts, the acquisition landscapes (Expected Improvement and Upper Confidence Bound) remain broad and spatially distributed, with no evidence of collapse toward a single narrow basin. EI retains multiple competing modes, while UCB highlights regions driven by surrogate uncertainty rather than purely by predicted mean. This is consistent with the intended exploratory mandate of Function 3 and mirrors the healthy behaviour observed in Week 12.</w:t>
      </w:r>
    </w:p>
    <w:p>
      <w:r>
        <w:t>Surrogate Behaviour and Uncertainty Structure:</w:t>
        <w:br/>
        <w:t>Surrogate diagnostics indicate stable behaviour relative to the previous week. Confidence bands remain non-trivial, and there is no sign of aggressive dimensional collapse or overconfident posterior means. This suggests that the response surface is still partially unresolved and that maintaining exploration remains appropriate. The continuity of uncertainty structure from Week 12 into Week 13 indicates incremental learning rather than regime instability.</w:t>
      </w:r>
    </w:p>
    <w:p>
      <w:r>
        <w:t>Candidate Diversity and Spatial Coverage:</w:t>
        <w:br/>
        <w:t>The candidate projections and diversity diagnostics continue to show wide spatial coverage. Global and trust-region samples both contribute to the proposal set, and clustering around the current incumbent is avoided. Compared with more exploitative strategies, this dispersion is desirable and confirms that Function 3 is fulfilling its role as a hedge against local overfitting within the wider optimisation portfolio.</w:t>
      </w:r>
    </w:p>
    <w:p>
      <w:r>
        <w:t>Commentary on the New Query Point:</w:t>
        <w:br/>
        <w:t>The newly proposed query point lies within a region where acquisition values remain non-zero and uncertainty is still elevated. As with the Week 12 proposal, this point should be understood primarily as an information-gathering sample rather than a direct attempt to optimise the objective. Its placement suggests deliberate probing of under-explored structure in the surrogate rather than opportunistic exploitation. Even if the realised objective value is modest, the point is expected to reduce posterior uncertainty and improve global model fidelity.</w:t>
      </w:r>
    </w:p>
    <w:p>
      <w:r>
        <w:t>Overall Effectiveness Assessment:</w:t>
        <w:br/>
        <w:t>Taken together, the Week 13 output charts reinforce the conclusions drawn in Week 12. Function 3 remains stable, exploratory, and strategically consistent. There is no evidence of pathological behaviour, acquisition degeneration, or premature convergence. Accordingly, no corrective action is indicated at this stage. Function 3 continues to perform its intended role as an information-seeking, stabilising component within the overall optimisation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