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Function_4_Week_13_Analysis</w:t>
      </w:r>
    </w:p>
    <w:p>
      <w:pPr>
        <w:spacing w:after="240"/>
      </w:pPr>
      <w:r>
        <w:t>1. Strategic Context and Continuity from Week 12</w:t>
      </w:r>
    </w:p>
    <w:p>
      <w:pPr>
        <w:spacing w:after="240"/>
      </w:pPr>
      <w:r>
        <w:t>Function 4 continues to operate as a late-stage, exploitation-led optimisation strategy. Building directly on the Week 12 findings, Week 13 confirms a deliberate emphasis on ridge-following behaviour, stable acquisition dynamics, and surrogate consolidation rather than renewed global exploration.</w:t>
      </w:r>
    </w:p>
    <w:p>
      <w:pPr>
        <w:spacing w:after="240"/>
      </w:pPr>
      <w:r>
        <w:t>2. Analysis of Output Charts</w:t>
      </w:r>
    </w:p>
    <w:p>
      <w:pPr>
        <w:spacing w:after="240"/>
      </w:pPr>
      <w:r>
        <w:t>Acquisition Behaviour (EI and UCB)</w:t>
        <w:br/>
        <w:t>The Expected Improvement and Upper Confidence Bound visualisations remain sharply concentrated around the established high-performing ridge. EI mass shows no evidence of dispersion into new regions, while UCB values are compressed but not flat, indicating reduced uncertainty without over-confidence. Compared to Week 12, acquisition sharpness is at least as pronounced, confirming continuity in exploitation intent.</w:t>
      </w:r>
    </w:p>
    <w:p>
      <w:pPr>
        <w:spacing w:after="240"/>
      </w:pPr>
      <w:r>
        <w:t>Surrogate Behaviour and Ridge Stability</w:t>
        <w:br/>
        <w:t>Surrogate slice plots and ridge scans show no structural drift relative to Week 12. Posterior mean surfaces remain smooth and locally well resolved, with narrow confidence intervals in the vicinity of the incumbent solution. There is no sign of competing optima or instability. ARD and sensitivity diagnostics continue to down-weight secondary dimensions, validating constrained movement outside the ridge.</w:t>
      </w:r>
    </w:p>
    <w:p>
      <w:pPr>
        <w:spacing w:after="240"/>
      </w:pPr>
      <w:r>
        <w:t>Candidate Diversity and Safeguards</w:t>
        <w:br/>
        <w:t>Although exploitation-focused, candidate diversity remains non-degenerate. Per-dimension standard deviations and pairwise distance diagnostics confirm controlled spread. SVM gating and geometric insurance mechanisms continue to preserve minimal global coverage, preventing numerical or geometric collapse. Compared to Week 12, dispersion is tighter but well within safe bounds.</w:t>
      </w:r>
    </w:p>
    <w:p>
      <w:pPr>
        <w:spacing w:after="240"/>
      </w:pPr>
      <w:r>
        <w:t>3. Commentary on the New Query Point</w:t>
      </w:r>
    </w:p>
    <w:p>
      <w:pPr>
        <w:spacing w:after="240"/>
      </w:pPr>
      <w:r>
        <w:t>The newly selected query point lies close to the established ridge, consistent with Function 4’s late-stage role. It incorporates a small lateral shift in a secondary dimension, probing ridge curvature rather than performing blind refinement. The point sits within a region of non-zero Expected Improvement, indicating active acquisition logic. Whether or not it improves the incumbent objective, it provides value by tightening posterior uncertainty and validating ridge geometry.</w:t>
      </w:r>
    </w:p>
    <w:p>
      <w:pPr>
        <w:spacing w:after="240"/>
      </w:pPr>
      <w:r>
        <w:t>4. Overall Effectiveness Assessment</w:t>
      </w:r>
    </w:p>
    <w:p>
      <w:pPr>
        <w:spacing w:after="240"/>
      </w:pPr>
      <w:r>
        <w:t>Relative to Week 12, Function 4 shows no degradation. Acquisition behaviour remains sharp, surrogate structure is stable, diversity safeguards are functioning, and the new query point is logically placed. There is no indication of premature convergence or strategic drift.</w:t>
      </w:r>
    </w:p>
    <w:p>
      <w:pPr>
        <w:spacing w:after="240"/>
      </w:pPr>
      <w:r>
        <w:t>5. Conclusion</w:t>
      </w:r>
    </w:p>
    <w:p>
      <w:pPr>
        <w:spacing w:after="240"/>
      </w:pPr>
      <w:r>
        <w:t>Function 4 remains highly effective in Week 13. The output charts confirm a controlled consolidation phase, and the new query point represents a sensible continuation of ridge-based refinement. No corrective action is recommended at this 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