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Function_5_Week_13_Analysis</w:t>
      </w:r>
    </w:p>
    <w:p>
      <w:pPr>
        <w:spacing w:after="240"/>
      </w:pPr>
      <w:r>
        <w:t>1. Strategic Context and Continuity from Week 12</w:t>
      </w:r>
    </w:p>
    <w:p>
      <w:pPr>
        <w:spacing w:after="240"/>
      </w:pPr>
      <w:r>
        <w:t>Function 5 continues to operate as a late‑stage optimisation strategy with a deliberate balance between local exploitation and controlled exploratory insurance. As established in the Week 12 analysis, its distinguishing feature relative to Function 4 is the retention of a small but persistent exploration floor, enforced through global sampling safeguards and geometric insurance rather than aggressive trust‑region contraction. The Week 13 output charts indicate strong continuity with this role, showing further consolidation without evidence of instability or premature convergence.</w:t>
      </w:r>
    </w:p>
    <w:p>
      <w:pPr>
        <w:spacing w:after="240"/>
      </w:pPr>
      <w:r>
        <w:t>2. Analysis of Output Charts</w:t>
      </w:r>
    </w:p>
    <w:p>
      <w:pPr>
        <w:spacing w:after="240"/>
      </w:pPr>
      <w:r>
        <w:t>Acquisition Behaviour (Expected Improvement and UCB)</w:t>
      </w:r>
    </w:p>
    <w:p>
      <w:pPr>
        <w:spacing w:after="240"/>
      </w:pPr>
      <w:r>
        <w:t>The Expected Improvement (EI) plots remain concentrated around the dominant high‑performing ridge identified in earlier weeks. Importantly, EI mass has not collapsed to a single spike; instead, it retains limited lateral spread, indicating that the acquisition function continues to acknowledge nearby uncertainty and curvature effects along the ridge. Upper Confidence Bound (UCB) values remain bounded and do not dominate the ranking, confirming that candidate selection is still performance‑led rather than uncertainty‑driven. Compared with Week 12, dispersion is marginally tighter, consistent with late‑stage refinement rather than over‑exploitation.</w:t>
      </w:r>
    </w:p>
    <w:p>
      <w:pPr>
        <w:spacing w:after="240"/>
      </w:pPr>
      <w:r>
        <w:t>Surrogate Structure and Stability</w:t>
      </w:r>
    </w:p>
    <w:p>
      <w:pPr>
        <w:spacing w:after="240"/>
      </w:pPr>
      <w:r>
        <w:t>Surrogate slice plots, ridge scans, and pairwise EI visualisations show no qualitative change in surface topology between Week 12 and Week 13. The posterior mean remains smooth, well‑resolved, and locally consistent around the incumbent optimum. Confidence structure aligns coherently with EI concentration, suggesting that uncertainty estimates remain calibrated. There is no indication of surrogate oscillation, spurious optima, or dimensional hallucination. Overall, model behaviour reflects a stable learning regime.</w:t>
      </w:r>
    </w:p>
    <w:p>
      <w:pPr>
        <w:spacing w:after="240"/>
      </w:pPr>
      <w:r>
        <w:t>Candidate Diversity and Safeguards</w:t>
      </w:r>
    </w:p>
    <w:p>
      <w:pPr>
        <w:spacing w:after="240"/>
      </w:pPr>
      <w:r>
        <w:t>Candidate diversity diagnostics confirm a controlled but non‑degenerate candidate set. PCA and clustering projections remain compact while still resolving multiple tight clusters rather than a single collapsed mode. Mean pairwise distances and per‑dimension standard deviations sit above failure thresholds, validating that diversity safeguards (global candidate floors, SVM gating, and geometric insurance) continue to function correctly. Relative to Week 12, diversity is slightly reduced but remains intentional and well‑managed.</w:t>
      </w:r>
    </w:p>
    <w:p>
      <w:pPr>
        <w:spacing w:after="240"/>
      </w:pPr>
      <w:r>
        <w:t>3. Commentary on the New Query Point</w:t>
      </w:r>
    </w:p>
    <w:p>
      <w:pPr>
        <w:spacing w:after="240"/>
      </w:pPr>
      <w:r>
        <w:t>The newly selected query point lies close to the established high‑value ridge, consistent with Function 5’s refinement‑oriented role. However, it also exhibits a small lateral displacement in a lower‑sensitivity dimension. This placement suggests that the point is not purely exploitative; instead, it probes ridge curvature and local geometry while remaining within a region of non‑zero Expected Improvement. Even if marginal objective improvement is limited, the query is expected to provide informational value by tightening posterior uncertainty and reinforcing confidence in the ridge structure.</w:t>
      </w:r>
    </w:p>
    <w:p>
      <w:pPr>
        <w:spacing w:after="240"/>
      </w:pPr>
      <w:r>
        <w:t>4. Overall Effectiveness Assessment</w:t>
      </w:r>
    </w:p>
    <w:p>
      <w:pPr>
        <w:spacing w:after="240"/>
      </w:pPr>
      <w:r>
        <w:t>Taken together, the Week 13 output charts show that Function 5 remains effective and strategically coherent. Acquisition behaviour is appropriately sharp without collapsing, surrogate structure is stable, and diversity safeguards remain active. Compared with Week 12, there is no evidence of regression, mode collapse, or strategic drift. The strategy continues to fulfil its intended position as a controlled, insurance‑aware late‑stage optimiser.</w:t>
      </w:r>
    </w:p>
    <w:p>
      <w:pPr>
        <w:spacing w:after="240"/>
      </w:pPr>
      <w:r>
        <w:t>5. Conclusion</w:t>
      </w:r>
    </w:p>
    <w:p>
      <w:pPr>
        <w:spacing w:after="240"/>
      </w:pPr>
      <w:r>
        <w:t>Function 5 performs strongly in Week 13. The output charts confirm a disciplined consolidation phase, and the new query point represents a sensible continuation of ridge‑based refinement with added geometric validation. No corrective action or parameter adjustment is recommended at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