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Function_6_Week_13_Analysis</w:t>
      </w:r>
    </w:p>
    <w:p>
      <w:pPr>
        <w:spacing w:after="240"/>
      </w:pPr>
      <w:r>
        <w:t>1. Strategic Role and Continuity from Week 12</w:t>
      </w:r>
    </w:p>
    <w:p>
      <w:pPr>
        <w:spacing w:after="240"/>
      </w:pPr>
      <w:r>
        <w:t>Function 6 continues to operate as a target-objective steering and global-survivor insurance mechanism within the optimisation workflow. As established in the Week 12 analysis, its primary responsibility is not aggressive exploration or local trust-region contraction, but the preservation of globally informative candidates while guiding acquisition toward regions aligned with the current best objective value. The Week 13 output charts indicate strong continuity with this mandate and no evidence of strategic drift or instability relative to Week 12.</w:t>
      </w:r>
    </w:p>
    <w:p>
      <w:pPr>
        <w:spacing w:after="240"/>
      </w:pPr>
      <w:r>
        <w:t>2. Acquisition Behaviour (EI and UCB Diagnostics)</w:t>
      </w:r>
    </w:p>
    <w:p>
      <w:pPr>
        <w:spacing w:after="240"/>
      </w:pPr>
      <w:r>
        <w:t>The Expected Improvement (EI) distribution is narrow and tightly clustered, with values approximately spanning the 0.011–0.012 range. This compressed EI spectrum is expected at this late stage and indicates that the surrogate no longer identifies large, discontinuous improvement opportunities. Importantly, EI has not collapsed to zero; instead, it remains structured and non-degenerate, confirming that the acquisition surface retains informational gradients rather than having saturated.</w:t>
      </w:r>
    </w:p>
    <w:p>
      <w:pPr>
        <w:spacing w:after="240"/>
      </w:pPr>
      <w:r>
        <w:t>The Upper Confidence Bound (UCB) distribution mirrors this behaviour, with values clustered around ~1.75 and limited spread. UCB does not dominate candidate ranking, indicating that the strategy is not reverting to pure uncertainty chasing. Instead, EI-led selection remains the dominant influence, with UCB acting as a bounded stabiliser. This balance is consistent with Week 12 and supports the interpretation that Function 6 continues to enforce controlled, target-oriented refinement rather than late-stage over-exploration.</w:t>
      </w:r>
    </w:p>
    <w:p>
      <w:pPr>
        <w:spacing w:after="240"/>
      </w:pPr>
      <w:r>
        <w:t>3. Surrogate Structure and Stability</w:t>
      </w:r>
    </w:p>
    <w:p>
      <w:pPr>
        <w:spacing w:after="240"/>
      </w:pPr>
      <w:r>
        <w:t>The surrogate used for Week 13 proposals is a Gaussian Process, consistent with prior iterations. ARD sensitivities are reported as unavailable for this surrogate instance, limiting fine-grained dimensional interpretation. However, stability can still be assessed indirectly. The smooth, compact acquisition distributions and the absence of erratic UCB excursions strongly suggest that the posterior mean and uncertainty estimates remain well behaved. There is no evidence of surrogate oscillation, spurious optima, or numerical instability.</w:t>
      </w:r>
    </w:p>
    <w:p>
      <w:pPr>
        <w:spacing w:after="240"/>
      </w:pPr>
      <w:r>
        <w:t>The current best observed objective remains stable, and the candidate EI values are consistent with incremental refinement rather than corrective recovery. This is fully aligned with the expectations set by the Week 12 analysis, which identified Function 6 as operating in a late-stage consolidation regime.</w:t>
      </w:r>
    </w:p>
    <w:p>
      <w:pPr>
        <w:spacing w:after="240"/>
      </w:pPr>
      <w:r>
        <w:t>4. Candidate Filtering, Diversity, and Global-Survivor Insurance</w:t>
      </w:r>
    </w:p>
    <w:p>
      <w:pPr>
        <w:spacing w:after="240"/>
      </w:pPr>
      <w:r>
        <w:t>SVM gating diagnostics show a keep fraction of 0.50, with 3 out of 5 top-ranked candidates retained after buffering (60%). This confirms that the classifier-based filtering layer is active but not overly aggressive, allowing multiple candidates to survive ranking while still excluding low-quality regions. This behaviour is consistent with the survivor-insurance role described in Week 12.</w:t>
      </w:r>
    </w:p>
    <w:p>
      <w:pPr>
        <w:spacing w:after="240"/>
      </w:pPr>
      <w:r>
        <w:t>Diversity metrics further reinforce this assessment. Per-dimension standard deviations remain non-zero and balanced (approximately [0.009, 0.006, 0.004, 0.007, 0.005]), indicating that the candidate set has not collapsed in any single dimension. Although the mean pairwise distance is small (~0.02), this is appropriate given the late-stage focus and the narrow EI surface. Crucially, diversity remains intentional rather than accidental, with variation retained across all dimensions.</w:t>
      </w:r>
    </w:p>
    <w:p>
      <w:pPr>
        <w:spacing w:after="240"/>
      </w:pPr>
      <w:r>
        <w:t>PCA-based clustering shows a compact structure with two clusters. While the absolute spread is small, the presence of more than one cluster confirms that the candidate set has not degenerated to a single point or linear mode. Relative to Week 12, this reflects mild tightening without loss of geometric insurance.</w:t>
      </w:r>
    </w:p>
    <w:p>
      <w:pPr>
        <w:spacing w:after="240"/>
      </w:pPr>
      <w:r>
        <w:t>5. Commentary on the New Query Point</w:t>
      </w:r>
    </w:p>
    <w:p>
      <w:pPr>
        <w:spacing w:after="240"/>
      </w:pPr>
      <w:r>
        <w:t>The newly proposed query point (approximately [0.4275, 0.4379, 0.7493, 0.6782, 0.0228]) lies close to the centre of mass of the top-k candidates while maintaining slight offsets across multiple dimensions. This positioning is characteristic of Function 6’s strategy: it is exploitative enough to remain within a trusted high-value basin, yet not so extreme as to collapse onto an existing sample.</w:t>
      </w:r>
    </w:p>
    <w:p>
      <w:pPr>
        <w:spacing w:after="240"/>
      </w:pPr>
      <w:r>
        <w:t>Relative to the current best point and the top-k candidate means, the new query exhibits modest but deliberate displacement. This suggests that its primary value is informational rather than purely objective-driven. Even if marginal objective improvement is limited, the point is well placed to tighten posterior uncertainty and to reinforce confidence in the local geometry of the optimum. This behaviour mirrors the Week 12 assessment, where new points were judged to refine and stabilise the surrogate rather than drive large jumps in performance.</w:t>
      </w:r>
    </w:p>
    <w:p>
      <w:pPr>
        <w:spacing w:after="240"/>
      </w:pPr>
      <w:r>
        <w:t>6. Overall Effectiveness Assessment</w:t>
      </w:r>
    </w:p>
    <w:p>
      <w:pPr>
        <w:spacing w:after="240"/>
      </w:pPr>
      <w:r>
        <w:t>Taken together, the Week 13 output charts indicate that Function 6 remains effective and strategically coherent. Acquisition behaviour is controlled and non-degenerate, surrogate behaviour appears stable, and diversity safeguards remain active. There is no indication of regression, over-filtering, or exploratory collapse relative to Week 12.</w:t>
      </w:r>
    </w:p>
    <w:p>
      <w:pPr>
        <w:spacing w:after="240"/>
      </w:pPr>
      <w:r>
        <w:t>7. Conclusion</w:t>
      </w:r>
    </w:p>
    <w:p>
      <w:pPr>
        <w:spacing w:after="240"/>
      </w:pPr>
      <w:r>
        <w:t>Function 6 performs strongly in Week 13. The output charts confirm continued adherence to its target-steering and global-survivor insurance role. The new query point is well chosen, offering incremental refinement and surrogate validation without sacrificing diversity or stability. No parameter changes or corrective actions are recommended at this stage.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