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Function_7_Week_13_Analysis</w:t>
      </w:r>
    </w:p>
    <w:p>
      <w:pPr>
        <w:spacing w:after="240"/>
      </w:pPr>
      <w:r>
        <w:t>1. Strategic Context and Continuity from Week 12</w:t>
      </w:r>
    </w:p>
    <w:p>
      <w:pPr>
        <w:spacing w:after="240"/>
      </w:pPr>
      <w:r>
        <w:t>Function 7 was identified in Week 12 as operating in a structured exploitation regime with geometric and global-survivor safeguards, following its transition out of broad exploration. The primary objective was to refine a known high-value basin while preventing premature collapse through diversity controls, spatial separation, and bounded uncertainty. The Week 13 output charts indicate clear continuity with this mandate, confirming that the strategy has strengthened without drifting toward instability or over-confidence.</w:t>
      </w:r>
    </w:p>
    <w:p>
      <w:pPr>
        <w:spacing w:after="240"/>
      </w:pPr>
      <w:r>
        <w:t>2. Acquisition Behaviour (EI and UCB Distributions)</w:t>
      </w:r>
    </w:p>
    <w:p>
      <w:pPr>
        <w:spacing w:after="240"/>
      </w:pPr>
      <w:r>
        <w:t>The Expected Improvement (EI) distribution spans roughly 0.005 to 0.035 and exhibits a skewed, non-uniform structure. Most candidates deliver modest incremental gains, while a small subset achieves materially higher EI values. This pattern is characteristic of a mature exploitation phase: the surrogate has not saturated, but improvement opportunities are concentrated in specific regions aligned with learned structure rather than dispersed across the search space.</w:t>
      </w:r>
    </w:p>
    <w:p>
      <w:pPr>
        <w:spacing w:after="240"/>
      </w:pPr>
      <w:r>
        <w:t>The Upper Confidence Bound (UCB) distribution is tightly clustered between approximately 3.17 and 3.35. The narrow spread indicates that posterior uncertainty is well controlled, with UCB acting as a stabilising influence rather than a primary acquisition driver. This behaviour is consistent with Week 12 guidance to avoid reintroducing aggressive uncertainty chasing once surrogate confidence has been established.</w:t>
      </w:r>
    </w:p>
    <w:p>
      <w:pPr>
        <w:spacing w:after="240"/>
      </w:pPr>
      <w:r>
        <w:t>3. Surrogate Stability and Dimensional Behaviour</w:t>
      </w:r>
    </w:p>
    <w:p>
      <w:pPr>
        <w:spacing w:after="240"/>
      </w:pPr>
      <w:r>
        <w:t>A Gaussian Process surrogate is used for Week 13 proposals. Although ARD sensitivities are unavailable for this surrogate instance, stability can be inferred indirectly. The smooth EI and UCB distributions, absence of extreme acquisition outliers, and coherent candidate geometry all suggest a well-behaved posterior. Importantly, no single dimension collapses entirely, indicating that the surrogate continues to represent meaningful multi-dimensional structure.</w:t>
      </w:r>
    </w:p>
    <w:p>
      <w:pPr>
        <w:spacing w:after="240"/>
      </w:pPr>
      <w:r>
        <w:t>Top-k candidate statistics reinforce this interpretation. Candidate means are well-centred across all six dimensions, and standard deviations remain non-zero, particularly in higher-variance dimensions. This demonstrates that the optimiser is exploiting a structured basin rather than degenerating to a narrow or brittle subspace.</w:t>
      </w:r>
    </w:p>
    <w:p>
      <w:pPr>
        <w:spacing w:after="240"/>
      </w:pPr>
      <w:r>
        <w:t>4. Diversity and Geometric Insurance</w:t>
      </w:r>
    </w:p>
    <w:p>
      <w:pPr>
        <w:spacing w:after="240"/>
      </w:pPr>
      <w:r>
        <w:t>Quantitative diversity metrics show per-dimension standard deviations of approximately [0.043, 0.081, 0.083, 0.060, 0.104, 0.049], with a mean pairwise distance of 0.2739. These values are substantially larger than those observed in more tightly collapsed functions and are appropriate for Function 7’s role. Despite operating in exploitation mode, variation is retained across all dimensions, confirming that spatial contraction remains controlled.</w:t>
      </w:r>
    </w:p>
    <w:p>
      <w:pPr>
        <w:spacing w:after="240"/>
      </w:pPr>
      <w:r>
        <w:t>The PCA-to-2D plus KMeans clustering plot reveals two distinct clusters rather than a single collapsed mode. The existence of multiple clusters confirms that geometric guard-rails and global-survivor mechanisms remain active. Relative to Week 12, the clusters tighten modestly but remain clearly separated, indicating progressive refinement without loss of robustness.</w:t>
      </w:r>
    </w:p>
    <w:p>
      <w:pPr>
        <w:spacing w:after="240"/>
      </w:pPr>
      <w:r>
        <w:t>5. Commentary on the Current Best Point</w:t>
      </w:r>
    </w:p>
    <w:p>
      <w:pPr>
        <w:spacing w:after="240"/>
      </w:pPr>
      <w:r>
        <w:t>The current best configuration, approximately [0.295979, 0.314467, 0.590710, 0.240562, 0.392219, 0.830516] with objective value around 2.0826, represents a stable exploitation anchor. Candidate proposals are structured around this basin rather than oscillating unpredictably. Trust-region parameters appear well calibrated for a six-dimensional space, supporting confidence-building rather than peak chasing.</w:t>
      </w:r>
    </w:p>
    <w:p>
      <w:pPr>
        <w:spacing w:after="240"/>
      </w:pPr>
      <w:r>
        <w:t>6. Commentary on the New Query Point</w:t>
      </w:r>
    </w:p>
    <w:p>
      <w:pPr>
        <w:spacing w:after="240"/>
      </w:pPr>
      <w:r>
        <w:t>The newly proposed top-ranked query point [0.304651, 0.235875, 0.629547, 0.320730, 0.281794, 0.845967] lies close to the established high-value basin while introducing coherent multi-dimensional displacement. Notable shifts occur in several dimensions without collapsing onto existing observations. The point falls within one of the identified PCA clusters, confirming that it is structurally informed rather than opportunistic.</w:t>
      </w:r>
    </w:p>
    <w:p>
      <w:pPr>
        <w:spacing w:after="240"/>
      </w:pPr>
      <w:r>
        <w:t>The primary value of this query is informational tightening and local geometry validation. Even if immediate objective gains are incremental, the point is well positioned to refine posterior confidence and strengthen the surrogate’s understanding of the basin.</w:t>
      </w:r>
    </w:p>
    <w:p>
      <w:pPr>
        <w:spacing w:after="240"/>
      </w:pPr>
      <w:r>
        <w:t>7. Overall Effectiveness Assessment</w:t>
      </w:r>
    </w:p>
    <w:p>
      <w:pPr>
        <w:spacing w:after="240"/>
      </w:pPr>
      <w:r>
        <w:t>The Week 13 charts demonstrate that Function 7 continues to perform effectively. Acquisition remains informative and selective, diversity safeguards prevent geometric collapse, exploitation pressure is appropriate, and surrogate behaviour appears stable. There is no evidence of regression or over-exploration relative to Week 12.</w:t>
      </w:r>
    </w:p>
    <w:p>
      <w:pPr>
        <w:spacing w:after="240"/>
      </w:pPr>
      <w:r>
        <w:t>8. Conclusion</w:t>
      </w:r>
    </w:p>
    <w:p>
      <w:pPr>
        <w:spacing w:after="240"/>
      </w:pPr>
      <w:r>
        <w:t>Function 7 performs strongly in Week 13. The optimisation strategy remains disciplined and coherent, delivering incremental refinement of a high-value basin while preserving robustness through diversity and clustering structure. The new query point is well chosen and aligned with the function’s strategic role. No parameter changes or corrective actions are recommended at this stage.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