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Function_8_Week_13_Analysis</w:t>
      </w:r>
    </w:p>
    <w:p>
      <w:pPr>
        <w:spacing w:after="240"/>
      </w:pPr>
      <w:r>
        <w:t>1. Strategic Context and Continuity from Week 12</w:t>
      </w:r>
    </w:p>
    <w:p>
      <w:pPr>
        <w:spacing w:after="240"/>
      </w:pPr>
      <w:r>
        <w:t>In Week 12, Function 8 was characterised by a stable, well-balanced exploration–exploitation regime, with disciplined surrogate learning, coherent acquisition landscapes, and strong geometric safeguards preventing premature collapse. The objective was to continue refining a productive basin while maintaining sufficient global awareness through diversity controls, ARD screening, and candidate-gating mechanisms.</w:t>
      </w:r>
    </w:p>
    <w:p>
      <w:pPr>
        <w:spacing w:after="240"/>
      </w:pPr>
      <w:r>
        <w:t>The Week 13 output charts confirm that this strategy has progressed in a measured and deliberate manner. Compared with Week 12, there is a controlled tightening of search focus consistent with increasing surrogate confidence, without evidence of instability or premature convergence.</w:t>
      </w:r>
    </w:p>
    <w:p>
      <w:pPr>
        <w:spacing w:after="240"/>
      </w:pPr>
      <w:r>
        <w:t>2. Acquisition Behaviour (Expected Improvement and UCB)</w:t>
      </w:r>
    </w:p>
    <w:p>
      <w:pPr>
        <w:spacing w:after="240"/>
      </w:pPr>
      <w:r>
        <w:t>The Expected Improvement (EI) distribution in Week 13 exhibits sharper, more localised peaks than in Week 12, with reduced mass in low-EI regions and stronger concentration around high-potential candidates. This behaviour indicates a natural transition from broad opportunity identification to focused local refinement, while retaining non-zero EI values that confirm remaining scope for improvement.</w:t>
      </w:r>
    </w:p>
    <w:p>
      <w:pPr>
        <w:spacing w:after="240"/>
      </w:pPr>
      <w:r>
        <w:t>The Upper Confidence Bound (UCB) distribution is tighter and more uniform than in Week 12. High-UCB regions now align closely with high-EI regions, indicating that candidate selection is increasingly driven by predicted performance rather than residual uncertainty alone. This alignment reflects a healthy late-mid optimisation phase.</w:t>
      </w:r>
    </w:p>
    <w:p>
      <w:pPr>
        <w:spacing w:after="240"/>
      </w:pPr>
      <w:r>
        <w:t>3. Surrogate Behaviour and Model Confidence</w:t>
      </w:r>
    </w:p>
    <w:p>
      <w:pPr>
        <w:spacing w:after="240"/>
      </w:pPr>
      <w:r>
        <w:t>Surrogate diagnostics indicate continued improvement over Week 12. Posterior variance narrows around sampled regions, confidence intervals contract gradually, and the posterior mean surface appears smoother and more coherent. Importantly, uncertainty reduction is progressive rather than abrupt, suggesting stable learning rather than over-confidence.</w:t>
      </w:r>
    </w:p>
    <w:p>
      <w:pPr>
        <w:spacing w:after="240"/>
      </w:pPr>
      <w:r>
        <w:t>ARD sensitivity patterns remain consistent with Week 12. A limited subset of dimensions continues to dominate predictive power, while lower-sensitivity dimensions remain effectively neutralised. No structural re-ordering of dimensional importance is observed, confirming stability in the learnt response surface.</w:t>
      </w:r>
    </w:p>
    <w:p>
      <w:pPr>
        <w:spacing w:after="240"/>
      </w:pPr>
      <w:r>
        <w:t>4. Diversity and Spatial Coverage</w:t>
      </w:r>
    </w:p>
    <w:p>
      <w:pPr>
        <w:spacing w:after="240"/>
      </w:pPr>
      <w:r>
        <w:t>Relative to Week 12, diversity metrics indicate moderate contraction in candidate spread. Candidate distances are reduced, and high-ranking points are more concentrated in productive regions. However, diversity has not collapsed: global candidate generation, SVM gating, and global-floor constraints continue to preserve geometric insurance and prevent redundancy.</w:t>
      </w:r>
    </w:p>
    <w:p>
      <w:pPr>
        <w:spacing w:after="240"/>
      </w:pPr>
      <w:r>
        <w:t>PCA and clustering diagnostics reveal fewer, tighter clusters than in Week 12. Cluster centroids shift toward higher-value regions, and the number of isolated exploratory outliers decreases. This geometry confirms intentional convergence rather than accidental collapse.</w:t>
      </w:r>
    </w:p>
    <w:p>
      <w:pPr>
        <w:spacing w:after="240"/>
      </w:pPr>
      <w:r>
        <w:t>5. Overall Effectiveness of the Optimisation Strategy</w:t>
      </w:r>
    </w:p>
    <w:p>
      <w:pPr>
        <w:spacing w:after="240"/>
      </w:pPr>
      <w:r>
        <w:t>Taken together, the Week 13 charts indicate that Function 8’s optimisation strategy is effective and well matched to the current learning phase. Acquisition functions remain informative, surrogate confidence improves without brittleness, diversity mechanisms remain active, and clustering patterns reflect genuine convergence toward a dominant basin.</w:t>
      </w:r>
    </w:p>
    <w:p>
      <w:pPr>
        <w:spacing w:after="240"/>
      </w:pPr>
      <w:r>
        <w:t>6. Commentary on the New Query Point</w:t>
      </w:r>
    </w:p>
    <w:p>
      <w:pPr>
        <w:spacing w:after="240"/>
      </w:pPr>
      <w:r>
        <w:t>The newly proposed query point</w:t>
      </w:r>
    </w:p>
    <w:p>
      <w:pPr>
        <w:spacing w:after="240"/>
      </w:pPr>
      <w:r>
        <w:t>[0.147829, 0.210006, 0.082804, 0.342246, 0.605513, 0.285107, 0.026811, 0.181431]</w:t>
      </w:r>
    </w:p>
    <w:p>
      <w:pPr>
        <w:spacing w:after="240"/>
      </w:pPr>
      <w:r>
        <w:t>is well aligned with the Week 13 acquisition landscapes. The point lies close to a local EI/UCB maximum rather than an uncertainty boundary, and surrogate variance at the location is relatively low. Spatially, it remains distinct from nearby evaluated points, avoiding redundancy.</w:t>
      </w:r>
    </w:p>
    <w:p>
      <w:pPr>
        <w:spacing w:after="240"/>
      </w:pPr>
      <w:r>
        <w:t>Compared with the more exploratory consolidation seen in Week 12, this selection reflects deliberate exploitation with incremental geometric displacement. Its value lies primarily in tightening posterior confidence and refining local gradients within an established high-value basin.</w:t>
      </w:r>
    </w:p>
    <w:p>
      <w:pPr>
        <w:spacing w:after="240"/>
      </w:pPr>
      <w:r>
        <w:t>7. Week 12 to Week 13 Comparison Summary</w:t>
      </w:r>
    </w:p>
    <w:p>
      <w:pPr>
        <w:spacing w:after="240"/>
      </w:pPr>
      <w:r>
        <w:t>Week 13 shows sharper acquisition peaks, tighter uncertainty control, improved surrogate confidence, moderately reduced but controlled diversity, and tighter clustering around high-performing regions. These changes represent natural progression from balanced exploration toward structured exploitation.</w:t>
      </w:r>
    </w:p>
    <w:p>
      <w:pPr>
        <w:spacing w:after="240"/>
      </w:pPr>
      <w:r>
        <w:t>8. Conclusion</w:t>
      </w:r>
    </w:p>
    <w:p>
      <w:pPr>
        <w:spacing w:after="240"/>
      </w:pPr>
      <w:r>
        <w:t>Function 8 performs strongly in Week 13. The optimisation strategy advances coherently, with improving surrogate confidence, effective acquisition behaviour, and intact diversity safeguards. The new query point is well chosen for the current regime, reinforcing local understanding without compromising robustness. No strategic intervention is recommended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