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Function_2_Week_12_Analysis</w:t>
      </w:r>
    </w:p>
    <w:p>
      <w:pPr>
        <w:pStyle w:val="Heading2"/>
      </w:pPr>
      <w:r>
        <w:rPr>
          <w:rStyle w:val="Normal"/>
        </w:rPr>
        <w:t xml:space="preserve">Overview and Strategy Context</w:t>
      </w:r>
    </w:p>
    <w:p>
      <w:r>
        <w:rPr>
          <w:rStyle w:val="Normal"/>
        </w:rPr>
        <w:t xml:space="preserve">Function 2 remains firmly in a late‑stage exploitation regime. As established in the Week 11 analysis, the optimisation problem has effectively collapsed to a one‑dimensional boundary‑ridge search near </w:t>
      </w:r>
      <w:r>
        <w:rPr>
          <w:b/>
          <w:bCs/>
          <w:rStyle w:val="Normal"/>
        </w:rPr>
        <w:t xml:space="preserve">x₂ ≈ 1.0</w:t>
      </w:r>
      <w:r>
        <w:rPr>
          <w:rStyle w:val="Normal"/>
        </w:rPr>
        <w:t xml:space="preserve">, with meaningful variation confined almost entirely to </w:t>
      </w:r>
      <w:r>
        <w:rPr>
          <w:b/>
          <w:bCs/>
          <w:rStyle w:val="Normal"/>
        </w:rPr>
        <w:t xml:space="preserve">x₁</w:t>
      </w:r>
      <w:r>
        <w:rPr>
          <w:rStyle w:val="Normal"/>
        </w:rPr>
        <w:t xml:space="preserve">. The primary objective at this stage is not broad exploration but precise local refinement and posterior sharpening around the apparent optimum. Week 12 results should therefore be evaluated against criteria appropriate to near‑convergence behaviour: acquisition stability, controlled diversity collapse, and consistency of query placement.</w:t>
      </w:r>
    </w:p>
    <w:p>
      <w:pPr>
        <w:pStyle w:val="Heading2"/>
      </w:pPr>
      <w:r>
        <w:rPr>
          <w:rStyle w:val="Normal"/>
        </w:rPr>
        <w:t xml:space="preserve">Acquisition Behaviour (EI and UCB Diagnostics)</w:t>
      </w:r>
    </w:p>
    <w:p>
      <w:r>
        <w:rPr>
          <w:rStyle w:val="Normal"/>
        </w:rPr>
        <w:t xml:space="preserve">The Week 12 Expected Improvement (EI) and Upper Confidence Bound (UCB) outputs exhibit the same tightly concentrated distributions observed in Week 11. EI values occupy a very narrow range, indicating that the surrogate predicts only marginal improvement opportunities in the immediate neighbourhood of the incumbent. Similarly, UCB values show minimal spread, reflecting high surrogate confidence and low residual uncertainty. This acquisition behaviour is characteristic of a problem approaching convergence and should be interpreted as evidence of surrogate maturity rather than stagnation.</w:t>
      </w:r>
    </w:p>
    <w:p>
      <w:r>
        <w:rPr>
          <w:rStyle w:val="Normal"/>
        </w:rPr>
        <w:t xml:space="preserve">Importantly, there is no sign of acquisition pathologies such as collapse to a single numerical point or erratic uncertainty inflation. Instead, EI and UCB continue to discriminate subtly among near‑neighbour candidates along the boundary ridge, supporting fine‑grained exploitation.</w:t>
      </w:r>
    </w:p>
    <w:p>
      <w:pPr>
        <w:pStyle w:val="Heading2"/>
      </w:pPr>
      <w:r>
        <w:rPr>
          <w:rStyle w:val="Normal"/>
        </w:rPr>
        <w:t xml:space="preserve">ARD and Dimensional Relevance</w:t>
      </w:r>
    </w:p>
    <w:p>
      <w:r>
        <w:rPr>
          <w:rStyle w:val="Normal"/>
        </w:rPr>
        <w:t xml:space="preserve">The Week 11 analysis decisively identified </w:t>
      </w:r>
      <w:r>
        <w:rPr>
          <w:b/>
          <w:bCs/>
          <w:rStyle w:val="Normal"/>
        </w:rPr>
        <w:t xml:space="preserve">x₁</w:t>
      </w:r>
      <w:r>
        <w:rPr>
          <w:rStyle w:val="Normal"/>
        </w:rPr>
        <w:t xml:space="preserve"> as the dominant dimension via Automatic Relevance Determination (ARD), with </w:t>
      </w:r>
      <w:r>
        <w:rPr>
          <w:b/>
          <w:bCs/>
          <w:rStyle w:val="Normal"/>
        </w:rPr>
        <w:t xml:space="preserve">x₂</w:t>
      </w:r>
      <w:r>
        <w:rPr>
          <w:rStyle w:val="Normal"/>
        </w:rPr>
        <w:t xml:space="preserve"> contributing negligibly within the region of interest. Week 12 behaviour is fully consistent with this diagnosis. Even where explicit ARD outputs are unavailable or uninformative, the practical effect is clear: candidates remain effectively fixed at the x₂ boundary, and all remaining variation is expressed through incremental adjustments in x₁.</w:t>
      </w:r>
    </w:p>
    <w:p>
      <w:r>
        <w:rPr>
          <w:rStyle w:val="Normal"/>
        </w:rPr>
        <w:t xml:space="preserve">This persistent dimensional reduction should be understood as a success of the modelling pipeline. By suppressing irrelevant degrees of freedom, the optimiser avoids unnecessary noise and focuses sampling effort where it is most informative.</w:t>
      </w:r>
    </w:p>
    <w:p>
      <w:pPr>
        <w:pStyle w:val="Heading2"/>
      </w:pPr>
      <w:r>
        <w:rPr>
          <w:rStyle w:val="Normal"/>
        </w:rPr>
        <w:t xml:space="preserve">Candidate Diversity and Clustering Structure</w:t>
      </w:r>
    </w:p>
    <w:p>
      <w:r>
        <w:rPr>
          <w:rStyle w:val="Normal"/>
        </w:rPr>
        <w:t xml:space="preserve">As in the previous week, candidate diversity metrics show extreme concentration. Per‑dimension standard deviations are very small, and mean pairwise distances among top‑ranked candidates remain close to zero. While such collapse would be concerning in an exploratory phase, here it represents correct behaviour for disciplined exploitation.</w:t>
      </w:r>
    </w:p>
    <w:p>
      <w:r>
        <w:rPr>
          <w:rStyle w:val="Normal"/>
        </w:rPr>
        <w:t xml:space="preserve">Clustering diagnostics reinforce this interpretation. Rather than revealing multiple competing basins or latent structure, candidate points form a single, narrow cluster aligned with the known boundary ridge. The absence of new clusters or geometric branching strongly suggests that no missed global structure remains in the explored region.</w:t>
      </w:r>
    </w:p>
    <w:p>
      <w:pPr>
        <w:pStyle w:val="Heading2"/>
      </w:pPr>
      <w:r>
        <w:rPr>
          <w:rStyle w:val="Normal"/>
        </w:rPr>
        <w:t xml:space="preserve">Commentary on the New Query Point</w:t>
      </w:r>
    </w:p>
    <w:p>
      <w:r>
        <w:rPr>
          <w:rStyle w:val="Normal"/>
        </w:rPr>
        <w:t xml:space="preserve">The proposed Week 12 query point lies squarely on the </w:t>
      </w:r>
      <w:r>
        <w:rPr>
          <w:b/>
          <w:bCs/>
          <w:rStyle w:val="Normal"/>
        </w:rPr>
        <w:t xml:space="preserve">x₂ ≈ 1.0</w:t>
      </w:r>
      <w:r>
        <w:rPr>
          <w:rStyle w:val="Normal"/>
        </w:rPr>
        <w:t xml:space="preserve"> boundary and introduces only a small perturbation in </w:t>
      </w:r>
      <w:r>
        <w:rPr>
          <w:b/>
          <w:bCs/>
          <w:rStyle w:val="Normal"/>
        </w:rPr>
        <w:t xml:space="preserve">x₁</w:t>
      </w:r>
      <w:r>
        <w:rPr>
          <w:rStyle w:val="Normal"/>
        </w:rPr>
        <w:t xml:space="preserve"> relative to the Week 11 submission. This placement is strategically coherent: it exploits the only dimension identified as relevant while maintaining continuity with the refined interval already known to be high‑value.</w:t>
      </w:r>
    </w:p>
    <w:p>
      <w:r>
        <w:rPr>
          <w:rStyle w:val="Normal"/>
        </w:rPr>
        <w:t xml:space="preserve">From a diagnostic perspective, the query serves to further tighten posterior uncertainty along the ridge. Even if the resulting observation yields only a marginal gain or confirms a plateau, it adds value by sharpening the surrogate’s local curvature estimate. In this late‑stage context, confirmation is as informative as improvement.</w:t>
      </w:r>
    </w:p>
    <w:p>
      <w:pPr>
        <w:pStyle w:val="Heading2"/>
      </w:pPr>
      <w:r>
        <w:rPr>
          <w:rStyle w:val="Normal"/>
        </w:rPr>
        <w:t xml:space="preserve">Overall Assessment and Continuity with Week 11</w:t>
      </w:r>
    </w:p>
    <w:p>
      <w:r>
        <w:rPr>
          <w:rStyle w:val="Normal"/>
        </w:rPr>
        <w:t xml:space="preserve">Week 12 represents clear </w:t>
      </w:r>
      <w:r>
        <w:rPr>
          <w:b/>
          <w:bCs/>
          <w:rStyle w:val="Normal"/>
        </w:rPr>
        <w:t xml:space="preserve">continuity rather than correction</w:t>
      </w:r>
      <w:r>
        <w:rPr>
          <w:rStyle w:val="Normal"/>
        </w:rPr>
        <w:t xml:space="preserve"> for Function 2. The optimisation strategy is behaving exactly as intended for a near‑converged, effectively one‑dimensional problem: acquisitions are narrow and stable, diversity is deliberately collapsed, ARD‑driven dimensional focus is respected, and new queries execute incremental boundary refinement.</w:t>
      </w:r>
    </w:p>
    <w:p>
      <w:r>
        <w:rPr>
          <w:rStyle w:val="Normal"/>
        </w:rPr>
        <w:t xml:space="preserve">There is no evidence of pathological behaviour, premature stagnation, or missed structure. Consequently, no strategic change is warranted. Continuing with controlled exploitation along the boundary ridge, with only occasional off‑boundary probes as a safety check, remains the correct course of 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2026-04-22T08:34:58.032Z</dcterms:created>
  <dcterms:modified xsi:type="dcterms:W3CDTF">2026-04-22T08:34:58.032Z</dcterms:modified>
</cp:coreProperties>
</file>

<file path=docProps/custom.xml><?xml version="1.0" encoding="utf-8"?>
<Properties xmlns="http://schemas.openxmlformats.org/officeDocument/2006/custom-properties" xmlns:vt="http://schemas.openxmlformats.org/officeDocument/2006/docPropsVTypes"/>
</file>