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Function_4_Week_12_Analysis</w:t>
      </w:r>
    </w:p>
    <w:p>
      <w:pPr>
        <w:pStyle w:val="Heading2"/>
      </w:pPr>
      <w:r>
        <w:t>Overview and Strategic Context</w:t>
      </w:r>
    </w:p>
    <w:p>
      <w:r>
        <w:t>Function 4 continues to operate as a late‑stage, exploitation‑focused Bayesian Optimisation strategy. As established in the Week 11 analysis, its role is to refine performance along an already identified high‑performing ridge in the four‑dimensional decision space, rather than to pursue broad global exploration. Accordingly, effectiveness in Week 12 is assessed primarily through acquisition sharpness, surrogate stability, and the placement of the new query relative to the established ridge.</w:t>
      </w:r>
    </w:p>
    <w:p>
      <w:pPr>
        <w:pStyle w:val="Heading2"/>
      </w:pPr>
      <w:r>
        <w:t>Analysis of Output Charts – Acquisition Behaviour</w:t>
      </w:r>
    </w:p>
    <w:p>
      <w:r>
        <w:t>Week 12 Expected Improvement (EI) plots show a pronounced concentration of mass around a small number of regions, indicating a continued exploitative acquisition regime. Unlike exploratory functions, EI does not exhibit spatial dispersion but remains sharply focused, reinforcing previously identified local structure. Upper Confidence Bound (UCB) values are comparatively compressed, signalling reduced uncertainty. However, UCB is not flat, which suggests that the model has not become over‑confident and still distinguishes marginal local alternatives. This behaviour is consistent with the late‑stage intent described in Week 11.</w:t>
      </w:r>
    </w:p>
    <w:p>
      <w:pPr>
        <w:pStyle w:val="Heading2"/>
      </w:pPr>
      <w:r>
        <w:t>Surrogate Behaviour and Ridge Stability</w:t>
      </w:r>
    </w:p>
    <w:p>
      <w:r>
        <w:t>Surrogate visualisations, including ridge scans and slice plots, confirm stability in the dominant ridge structure identified in earlier weeks. There is no evidence of ridge drift, competing optima, or structural instability. Posterior mean surfaces remain smooth and locally well‑resolved, while confidence intervals are narrow in the vicinity of the incumbent solution. Compared to Week 11, this reflects consolidation rather than stagnation and indicates that the surrogate is refining its understanding rather than re‑learning the landscape.</w:t>
      </w:r>
    </w:p>
    <w:p>
      <w:pPr>
        <w:pStyle w:val="Heading2"/>
      </w:pPr>
      <w:r>
        <w:t>Candidate Diversity Diagnostics</w:t>
      </w:r>
    </w:p>
    <w:p>
      <w:r>
        <w:t>Candidate diversity diagnostics indicate non‑zero standard deviation across all four dimensions, with moderate pairwise distances preserved among top candidates. Dispersion is reduced relative to exploratory functions but remains sufficient to avoid numerical collapse or redundant resampling. This level of diversity is consistent with controlled local refinement and mirrors the behaviour observed in Week 11.</w:t>
      </w:r>
    </w:p>
    <w:p>
      <w:pPr>
        <w:pStyle w:val="Heading2"/>
      </w:pPr>
      <w:r>
        <w:t>Commentary on the New Query Point</w:t>
      </w:r>
    </w:p>
    <w:p>
      <w:r>
        <w:t>The new query point lies close to the established ridge while introducing a deliberate shift in at least one secondary dimension. This mirrors the Week 11 behaviour, where candidate selection probed lateral movements along the ridge rather than extreme exploratory deviations. The location of the point corresponds to regions of non‑zero EI, indicating that acquisition‑driven logic remains active. Even if the realised objective does not exceed the incumbent, the point contributes by tightening local surrogate confidence and validating ridge curvature.</w:t>
      </w:r>
    </w:p>
    <w:p>
      <w:pPr>
        <w:pStyle w:val="Heading2"/>
      </w:pPr>
      <w:r>
        <w:t>Overall Assessment and Continuity with Week 11</w:t>
      </w:r>
    </w:p>
    <w:p>
      <w:r>
        <w:t>Overall, Week 12 demonstrates strong continuity with the Function 4 Week 11 analysis. Acquisition behaviour remains sharply defined, surrogate structure is stable, and candidate diversity is controlled without degeneracy. There is no evidence of strategic degradation or premature convergence. Function 4 continues to function effectively as a late‑stage exploitation component, and no corrective adjustments are required at this stage.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