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Function_5_Week_12_Analysis</w:t>
      </w:r>
    </w:p>
    <w:p>
      <w:pPr>
        <w:pStyle w:val="Heading2"/>
      </w:pPr>
      <w:r>
        <w:t>Overview</w:t>
      </w:r>
    </w:p>
    <w:p>
      <w:r>
        <w:t>This analysis evaluates Function 5’s Week 12 output charts to assess strategic effectiveness and to comment on the selected new query point. The interpretation is grounded directly in the Expected Improvement (EI) and Upper Confidence Bound (UCB) distributions, PCA–KMeans clustering output, diversity diagnostics, and proposal logs, and is explicitly informed by the stabilisation-oriented conclusions set out in Function_5_Week_11_Analysis.</w:t>
      </w:r>
    </w:p>
    <w:p>
      <w:pPr>
        <w:pStyle w:val="Heading2"/>
      </w:pPr>
      <w:r>
        <w:t>Acquisition Behaviour: EI and UCB Distributions</w:t>
      </w:r>
    </w:p>
    <w:p>
      <w:r>
        <w:t>The Expected Improvement (EI) distribution is highly localised, with only a small number of candidates exhibiting substantive EI values (approximately 0.75–1.15). This concentration indicates that the acquisition strategy is operating in a predominantly exploitative regime, refining solutions close to an already identified high-performing region rather than pursuing broad exploration. The Upper Confidence Bound (UCB) distribution spans a moderate range (approximately 3.6–5.0), showing that uncertainty is present but bounded. Importantly, peak EI values do not coincide with extreme UCB values, confirming that candidate selection is driven by expected performance rather than uncertainty alone. This behaviour is consistent with the Week 11 transition toward controlled exploitation.</w:t>
      </w:r>
    </w:p>
    <w:p>
      <w:pPr>
        <w:pStyle w:val="Heading2"/>
      </w:pPr>
      <w:r>
        <w:t>Candidate Statistics and Diversity Diagnostics</w:t>
      </w:r>
    </w:p>
    <w:p>
      <w:r>
        <w:t>Top-k candidate means are tightly clustered across all four dimensions (x1 ≈ 0.965, x2 ≈ 0.778, x3 ≈ 0.954, x4 ≈ 0.956). Standard deviations are small in every dimension, particularly x2 (≈ 0.162) and x4 (≈ 0.031), indicating strong local convergence. Per-dimension diversity values (≈ 0.043–0.053) and a mean pairwise distance of approximately 0.262 confirm that although candidates are not identical, they occupy a narrow local neighbourhood. The diagnostic note that top-k diversity is insufficient to assess wider spread therefore reflects intentional late-stage refinement rather than a failure of candidate generation.</w:t>
      </w:r>
    </w:p>
    <w:p>
      <w:pPr>
        <w:pStyle w:val="Heading2"/>
      </w:pPr>
      <w:r>
        <w:t>Clustering Structure (PCA–2D with KMeans)</w:t>
      </w:r>
    </w:p>
    <w:p>
      <w:r>
        <w:t>The PCA-projected candidate space reveals two compact, well-separated clusters. The absence of diffuse points or cluster fragmentation indicates that candidate generation maintains limited but deliberate geometric diversity while concentrating on the most promising region of the surrogate landscape. This pattern suggests that SVM gating and acquisition ranking are functioning correctly. Relative to Week 11, there is no evidence of collapse or instability; instead, the observed tightening reflects ongoing convergence.</w:t>
      </w:r>
    </w:p>
    <w:p>
      <w:pPr>
        <w:pStyle w:val="Heading2"/>
      </w:pPr>
      <w:r>
        <w:t>Surrogate Stability and Model Choice</w:t>
      </w:r>
    </w:p>
    <w:p>
      <w:r>
        <w:t>A Gaussian Process surrogate underpins proposal generation in Week 12. The combination of tightly localised EI support, bounded UCB values, and compact clustering is indicative of a stable surrogate with well-calibrated local uncertainty. Although ARD sensitivity plots are unavailable for this surrogate, this does not materially weaken the analysis at this stage, as dimensional relevance was already established in earlier iterations, as noted in the Week 11 review.</w:t>
      </w:r>
    </w:p>
    <w:p>
      <w:pPr>
        <w:pStyle w:val="Heading2"/>
      </w:pPr>
      <w:r>
        <w:t>Assessment of the New Query Point</w:t>
      </w:r>
    </w:p>
    <w:p>
      <w:r>
        <w:t>The selected new query point (0.982184, 0.770928, 0.983099, 0.948462) lies very close to the centroid of the top-k candidate set. Its placement within a high-EI, low-variance region indicates that it constitutes a marginal but focused refinement along the established performance ridge. In line with the Week 11 assessment, this query is best understood as confirmatory: its primary contribution is to tighten local curvature estimates, reduce residual uncertainty, and reinforce surrogate confidence rather than to seek a step-change improvement.</w:t>
      </w:r>
    </w:p>
    <w:p>
      <w:pPr>
        <w:pStyle w:val="Heading2"/>
      </w:pPr>
      <w:r>
        <w:t>Overall Effectiveness and Continuity with Week 11</w:t>
      </w:r>
    </w:p>
    <w:p>
      <w:r>
        <w:t>Overall, the Week 12 output charts indicate that Function 5 remains effective and strategically coherent. Acquisition behaviour is appropriately exploitative without degeneracy, candidate diversity is narrow but non-collapsing, and clustering structure confirms controlled convergence. Compared with Week 11, the strategy shows continuity and further consolidation, with no evidence of regression. As such, no immediate parameter adjustments are recommended, and Function 5 continues to fulfil its intended late-stage optimisation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