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Function_7_Week_12_Analysis</w:t>
      </w:r>
    </w:p>
    <w:p>
      <w:r>
        <w:t>Executive Summary</w:t>
        <w:br/>
        <w:t>Function 7 in Week 12 confirms that the optimisation strategy remains stable, structured, and effective following the transition observed in Week 11 from broad exploration to informed exploitation. The output charts demonstrate continued surrogate confidence, coherent acquisition landscapes, and controlled candidate geometry. The newly selected query point reinforces this behaviour by refining a known high-performing basin rather than pursuing high-risk exploratory extremes.</w:t>
      </w:r>
    </w:p>
    <w:p>
      <w:r>
        <w:t>Effectiveness of the Strategy (Week 12 Output Charts)</w:t>
        <w:br/>
        <w:t>The Week 12 EI and UCB contour plots show persistent ridge‑based structure similar to, and more sharply defined than, Week 11. Expected Improvement mass is concentrated in a small number of basins rather than being diffused across high‑uncertainty edges, indicating that the surrogate model is confidently identifying promising regions. UCB maintains limited exploratory shoulders, providing insurance against premature convergence without dominating selection.</w:t>
      </w:r>
    </w:p>
    <w:p>
      <w:r>
        <w:t>Posterior mean and slice plots indicate further tightening of confidence bands in frequently sampled regions. Compared to Week 11, uncertainty has reduced incrementally rather than collapsing, suggesting that learning is continuing in a controlled manner. This behaviour is consistent with a well‑calibrated Gaussian Process or ensemble surrogate operating beyond its initial global exploration phase.</w:t>
      </w:r>
    </w:p>
    <w:p>
      <w:r>
        <w:t>ARD sensitivity diagnostics continue to show that only a subset of dimensions materially influences performance. This reinforces the Week 11 conclusion that Function 7 behaves as a lower effective‑dimensional problem, and that feature screening is allowing the optimiser to focus attention where it is most productive. No new dominant dimensions emerge in Week 12, which supports stability in the learnt structure.</w:t>
      </w:r>
    </w:p>
    <w:p>
      <w:r>
        <w:t>Diversity and PCA plots show that candidate sets remain well‑distributed. Spatial guard‑rails successfully prevent collapse into a narrow cluster, even while exploitation intensifies. This confirms that geometric constraints are functioning as designed and that refinement is not occurring at the expense of robustness.</w:t>
      </w:r>
    </w:p>
    <w:p>
      <w:r>
        <w:t>Commentary on the New Query Point (Week 12)</w:t>
        <w:br/>
        <w:t>The Week 12 query point</w:t>
        <w:br/>
        <w:t>[0.029904, 0.458903, 0.528838, 0.228150, 0.490271, 0.714917]</w:t>
        <w:br/>
        <w:t>produced an observed output of approximately 1.386. Although this value is below the Week 11 peak (~1.689), it remains materially above early‑run responses and aligns clearly with the high‑value basin identified previously.</w:t>
      </w:r>
    </w:p>
    <w:p>
      <w:r>
        <w:t>In the acquisition and GP slice plots, the new query point lies on a clear EI ridge and close to a posterior mean maximum rather than at the periphery of a high‑uncertainty region. Confidence bands around this location are relatively narrow, indicating that the evaluation is refining model understanding rather than resolving gross uncertainty. Spatially, the point is distinct from prior evaluations, demonstrating that guard‑rails continue to enforce geometric separation.</w:t>
      </w:r>
    </w:p>
    <w:p>
      <w:r>
        <w:t>The choice of this query reflects a deliberate and appropriate trade‑off. Instead of aggressively chasing a potentially noisy global maximum, the optimiser is consolidating knowledge of the current basin, improving local resolution and reliability. This behaviour is indicative of a mature optimisation loop.</w:t>
      </w:r>
    </w:p>
    <w:p>
      <w:r>
        <w:t>Comparison with Week 11</w:t>
        <w:br/>
        <w:t>Week 11 marked a clear inflection point where Function 7 transitioned from exploration‑dominated behaviour to structured exploitation. Week 12 confirms that this transition was not transient. Acquisition landscapes are more stable, posterior uncertainty continues to shrink gradually, and new queries are consistently aligned with learned structure.</w:t>
      </w:r>
    </w:p>
    <w:p>
      <w:r>
        <w:t>Where Week 11 demonstrated entry into a productive basin, Week 12 demonstrates disciplined refinement within it. There is no evidence of over‑confidence, collapse, or regression to noisy exploration. Instead, the strategy shows continuity and increasing robustness.</w:t>
      </w:r>
    </w:p>
    <w:p>
      <w:r>
        <w:t>Overall Assessment and Recommendation</w:t>
        <w:br/>
        <w:t>The Week 12 output charts support the conclusion that Function 7 is operating effectively as a controlled high‑dimensional optimisation strategy. The new query point is well‑chosen, informative, and contributes to deeper understanding of the current optimum region.</w:t>
      </w:r>
    </w:p>
    <w:p>
      <w:r>
        <w:t>It is recommended that the strategy continues local refinement around the present basin. Increased exploratory pressure should only be reintroduced if multiple consecutive rounds fail to deliver incremental improvement or if posterior variance sharply reduces without corresponding performance gains.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