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Function_8_Week_12_Analysis</w:t>
      </w:r>
    </w:p>
    <w:p>
      <w:r>
        <w:t>Executive Summary</w:t>
        <w:br/>
        <w:t>Function 8 in Week 12 demonstrates a continued and disciplined optimisation strategy that builds directly on the stability and balance identified in Week 11. The output charts confirm that the exploration–exploitation regime remains well‑calibrated, with acquisition functions, surrogate confidence, and candidate geometry behaving coherently. The newly selected query point reinforces learning within an established high‑value basin rather than pursuing speculative exploration.</w:t>
      </w:r>
    </w:p>
    <w:p>
      <w:r>
        <w:t>Strategy Effectiveness (Week 12 Output Charts)</w:t>
        <w:br/>
        <w:t>Expected Improvement (EI) and Upper Confidence Bound (UCB) plots show structured and well‑defined acquisition landscapes. Compared with Week 11, EI mass is more concentrated, indicating increasing surrogate confidence while still retaining minor exploratory shoulders. UCB plots confirm that uncertainty is controlled and not dominating candidate selection.</w:t>
      </w:r>
    </w:p>
    <w:p>
      <w:r>
        <w:t>Posterior mean and slice plots exhibit smoother surfaces and incremental tightening of confidence intervals in previously sampled regions. Uncertainty reduction is gradual rather than abrupt, suggesting stable learning rather than premature convergence. This behaviour aligns with the ensemble‑based surrogate approach used for Function 8 and indicates robust generalisation.</w:t>
      </w:r>
    </w:p>
    <w:p>
      <w:r>
        <w:t>ARD sensitivity diagnostics remain consistent with Week 11 findings. A limited subset of dimensions continues to drive performance, while low‑sensitivity dimensions are effectively neutralised through feature screening. No material re‑ordering of dimensional importance is observed, confirming structural stability in the learnt response surface.</w:t>
      </w:r>
    </w:p>
    <w:p>
      <w:r>
        <w:t>Candidate diversity diagnostics and PCA projections demonstrate that candidate sets remain well‑distributed. Spatial guard‑rails and geometric insurance mechanisms are preventing collapse into a narrow trust region, even as exploitation intensifies. This confirms that refinement is occurring without loss of robustness.</w:t>
      </w:r>
    </w:p>
    <w:p>
      <w:r>
        <w:t>Commentary on the New Query Point (Week 12)</w:t>
        <w:br/>
        <w:t>The new query point</w:t>
        <w:br/>
        <w:t>[0.023125, 0.020004, 0.057527, 0.006125, 0.620846, 0.492826, 0.332871, 0.698830]</w:t>
        <w:br/>
        <w:t>produced an observed output of approximately 9.88. This value is consistent with expectations from the Week 11 posterior mean and lies within a clearly identified high‑value basin.</w:t>
      </w:r>
    </w:p>
    <w:p>
      <w:r>
        <w:t>In EI and surrogate slice plots, the point is positioned along a coherent EI ridge rather than at the edge of a high‑uncertainty region. UCB values around the point are moderate, indicating that selection is driven by predicted performance rather than speculative uncertainty. Confidence intervals are relatively tight, suggesting the evaluation refines local model understanding.</w:t>
      </w:r>
    </w:p>
    <w:p>
      <w:r>
        <w:t>Spatially, the point is distinct from prior evaluations, demonstrating that diversity constraints remain active. The selection reflects a deliberate consolidation step, improving resolution within a productive basin while preserving global awareness.</w:t>
      </w:r>
    </w:p>
    <w:p>
      <w:r>
        <w:t>Comparison with Week 11</w:t>
        <w:br/>
        <w:t>Week 11 established that Function 8 had entered a stable and effective exploration–exploitation regime. Week 12 confirms this regime has persisted. Acquisition landscapes are sharper yet controlled, surrogate uncertainty continues to reduce incrementally, and new queries align consistently with learnt structure.</w:t>
      </w:r>
    </w:p>
    <w:p>
      <w:r>
        <w:t>There is no evidence of regression, over‑confidence, or excessive exploitation. Instead, Week 12 reflects disciplined refinement and increasing robustness.</w:t>
      </w:r>
    </w:p>
    <w:p>
      <w:r>
        <w:t>Overall Assessment and Recommendation</w:t>
        <w:br/>
        <w:t>The Week 12 output charts confirm that Function 8’s optimisation strategy remains effective, stable, and well‑balanced. The new query point is informative, well‑chosen, and strengthens confidence in the current optimum region.</w:t>
      </w:r>
    </w:p>
    <w:p>
      <w:r>
        <w:t>It is recommended that refinement continues around the present basin, with exploratory pressure only increased if improvements plateau or if posterior variance collapses without corresponding gains.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