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Function_1_Week_12_Analysis</w:t>
      </w:r>
    </w:p>
    <w:p>
      <w:pPr>
        <w:pStyle w:val="Heading2"/>
      </w:pPr>
      <w:r>
        <w:t>Overview and Strategy Context</w:t>
      </w:r>
    </w:p>
    <w:p>
      <w:pPr>
        <w:spacing w:after="240"/>
      </w:pPr>
      <w:r>
        <w:t>Function 1 continues to operate under an explicitly exploration-led strategy, where effectiveness is evaluated by geometric coverage, diversity preservation, and uncertainty reduction rather than objective value improvement. The Week 11 analysis established that this approach is appropriate for a near-flat objective landscape, with success defined by sustained dispersion and avoidance of premature convergence. Week 12 results should therefore be interpreted primarily through diversity, clustering, and acquisition structure rather than observed best Y values.</w:t>
      </w:r>
    </w:p>
    <w:p>
      <w:pPr>
        <w:pStyle w:val="Heading2"/>
      </w:pPr>
      <w:r>
        <w:t>Acquisition Behaviour (EI and UCB Distributions)</w:t>
      </w:r>
    </w:p>
    <w:p>
      <w:pPr>
        <w:spacing w:after="240"/>
      </w:pPr>
      <w:r>
        <w:t>The Expected Improvement (EI) and Upper Confidence Bound (UCB) distributions in Week 12 show tightly concentrated but non-degenerate values. EI values span a narrow band around approximately 0.263–0.269, while UCB values cluster around 2.54–2.55. This behaviour is consistent with a mature exploratory regime on a low-curvature surface, where acquisition functions are primarily differentiating candidates via uncertainty rather than predicted improvement magnitude. Compared with Week 11, there is no evidence of pathological collapse or over-sharpening of the acquisition surface.</w:t>
      </w:r>
    </w:p>
    <w:p>
      <w:pPr>
        <w:pStyle w:val="Heading2"/>
      </w:pPr>
      <w:r>
        <w:t>Candidate Diversity Metrics</w:t>
      </w:r>
    </w:p>
    <w:p>
      <w:pPr>
        <w:spacing w:after="240"/>
      </w:pPr>
      <w:r>
        <w:t>Top-k candidate statistics indicate means of approximately x1 = 0.661 and x2 = 0.531, with per-dimension standard deviations of roughly [0.229, 0.403]. The mean pairwise distance (≈0.6748) is closely aligned with Week 11 values, confirming that geometric diversity has been preserved. Importantly, the higher spread along x2 relative to x1 suggests deliberate anisotropic exploration, consistent with earlier findings that both dimensions remain relevant despite the absence of ARD diagnostics for this surrogate.</w:t>
      </w:r>
    </w:p>
    <w:p>
      <w:pPr>
        <w:pStyle w:val="Heading2"/>
      </w:pPr>
      <w:r>
        <w:t>Clustering and Geometric Structure</w:t>
      </w:r>
    </w:p>
    <w:p>
      <w:pPr>
        <w:spacing w:after="240"/>
      </w:pPr>
      <w:r>
        <w:t>The PCA-to-2D plus KMeans visualisation reveals two clearly separated clusters. This bifurcation indicates that the candidate set spans multiple regions of the design space rather than collapsing toward a single basin. In line with Week 11 observations, this clustering pattern supports the interpretation that the Max–Min style sampling and geometric insurance mechanisms remain effective in sustaining coverage across the domain.</w:t>
      </w:r>
    </w:p>
    <w:p>
      <w:pPr>
        <w:pStyle w:val="Heading2"/>
      </w:pPr>
      <w:r>
        <w:t>Surrogate Behaviour and Diagnostics</w:t>
      </w:r>
    </w:p>
    <w:p>
      <w:pPr>
        <w:spacing w:after="240"/>
      </w:pPr>
      <w:r>
        <w:t>As in the previous week, ARD sensitivities are unavailable for the surrogate used in Function 1. However, the stability of diversity metrics and acquisition distributions provides indirect confirmation that no single dimension has been implicitly suppressed. The Gaussian Process surrogate used for proposals remains well-behaved, with no signs of overconfidence or instability across the explored region.</w:t>
      </w:r>
    </w:p>
    <w:p>
      <w:pPr>
        <w:pStyle w:val="Heading2"/>
      </w:pPr>
      <w:r>
        <w:t>Commentary on the New Query Point</w:t>
      </w:r>
    </w:p>
    <w:p>
      <w:pPr>
        <w:spacing w:after="240"/>
      </w:pPr>
      <w:r>
        <w:t>The selected top-1 query for Week 12, [0.994902, 0.994222], is located near the upper corner of the domain and represents a deliberate extreme probe. This choice is consistent with the Function 1 philosophy of alternating between interior, edge, and corner samples to exhaustively reduce global uncertainty. While the incumbent best observed value remains approximately zero at [0.731024, 0.733], this absence of performance gain is expected given the known flatness of the objective. Relative to Week 11, the new query extends coverage toward a previously under-sampled corner, thereby incrementally strengthening global robustness rather than local optimisation.</w:t>
      </w:r>
    </w:p>
    <w:p>
      <w:pPr>
        <w:pStyle w:val="Heading2"/>
      </w:pPr>
      <w:r>
        <w:t>Overall Assessment</w:t>
      </w:r>
    </w:p>
    <w:p>
      <w:pPr>
        <w:spacing w:after="240"/>
      </w:pPr>
      <w:r>
        <w:t>Factoring in the Week 11 analysis, Week 12 demonstrates continuity rather than deviation in Function 1 behaviour. Acquisition functions remain stable, diversity metrics are preserved, and candidate clustering confirms broad geometric coverage. The new query point is well aligned with the long-term exploration objective and does not warrant strategic revision. Maintaining the current configuration into the next round remains appropriate, with effectiveness continuing to be defined by coverage and uncertainty reduction rather than objective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