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鬼面-键帽套件规格说明书"/>
    <w:p>
      <w:pPr>
        <w:pStyle w:val="Heading1"/>
      </w:pPr>
      <w:r>
        <w:t xml:space="preserve">鬼面 — 键帽套件规格说明书</w:t>
      </w:r>
    </w:p>
    <w:p>
      <w:pPr>
        <w:pStyle w:val="FirstParagraph"/>
      </w:pPr>
      <w:r>
        <w:rPr>
          <w:bCs/>
          <w:b/>
        </w:rPr>
        <w:t xml:space="preserve">YogiKeys 鬼面 v2.2</w:t>
      </w:r>
      <w:r>
        <w:t xml:space="preserve"> | ISO-DE 75% 配列 | PBT Cherry 高度 | 2026-05-19</w:t>
      </w:r>
    </w:p>
    <w:p>
      <w:pPr>
        <w:pStyle w:val="BodyText"/>
      </w:pPr>
      <w:r>
        <w:t xml:space="preserve">鬼面是一款大胆、深沉的键帽套件,以深海军蓝为基础色,搭配富有质感的酒红色修饰键群,以一小组温暖的金色英雄键作为点睛。视觉锚点是一个日文汉字 — 面 — 印在空格键和小型品牌键上,与启发本套设计的能剧般若面具传统建立联系。源文件(Affinity .af + PDF 导出)已附上 — 请将其作为颜色、字符位置和汉字图案的权威参考。本文档仅概述设计意图。</w:t>
      </w:r>
    </w:p>
    <w:p>
      <w:r>
        <w:pict>
          <v:rect style="width:0;height:1.5pt" o:hralign="center" o:hrstd="t" o:hr="t"/>
        </w:pict>
      </w:r>
    </w:p>
    <w:bookmarkStart w:id="21" w:name="键帽颜色"/>
    <w:p>
      <w:pPr>
        <w:pStyle w:val="Heading2"/>
      </w:pPr>
      <w:r>
        <w:t xml:space="preserve">1. 键帽颜色</w:t>
      </w:r>
    </w:p>
    <w:p>
      <w:pPr>
        <w:pStyle w:val="FirstParagraph"/>
      </w:pPr>
      <w:r>
        <w:t xml:space="preserve">我们使用 </w:t>
      </w:r>
      <w:r>
        <w:rPr>
          <w:bCs/>
          <w:b/>
        </w:rPr>
        <w:t xml:space="preserve">3 种键帽颜色</w:t>
      </w:r>
      <w:r>
        <w:t xml:space="preserve">。Hex 数值为视觉目标 — 请根据您的标准生产工艺尽量接近匹配。</w:t>
      </w:r>
    </w:p>
    <w:tbl>
      <w:tblPr>
        <w:tblStyle w:val="Table"/>
        <w:tblW w:type="pct" w:w="5000"/>
        <w:tblLook w:firstRow="1" w:lastRow="0" w:firstColumn="0" w:lastColumn="0" w:noHBand="0" w:noVBand="0" w:val="0020"/>
        <w:jc w:val="start"/>
      </w:tblPr>
      <w:tblGrid>
        <w:gridCol w:w="1100"/>
        <w:gridCol w:w="1500"/>
        <w:gridCol w:w="1100"/>
        <w:gridCol w:w="900"/>
        <w:gridCol w:w="4760"/>
      </w:tblGrid>
      <w:tr>
        <w:trPr>
          <w:tblHeader w:val="true"/>
        </w:trPr>
        <w:tc>
          <w:tcPr/>
          <w:p>
            <w:pPr>
              <w:pStyle w:val="Compact"/>
              <w:jc w:val="left"/>
            </w:pPr>
            <w:r>
              <w:t xml:space="preserve">区域</w:t>
            </w:r>
          </w:p>
        </w:tc>
        <w:tc>
          <w:tcPr/>
          <w:p>
            <w:pPr>
              <w:pStyle w:val="Compact"/>
              <w:jc w:val="left"/>
            </w:pPr>
            <w:r>
              <w:t xml:space="preserve">颜色</w:t>
            </w:r>
          </w:p>
        </w:tc>
        <w:tc>
          <w:tcPr/>
          <w:p>
            <w:pPr>
              <w:pStyle w:val="Compact"/>
              <w:jc w:val="left"/>
            </w:pPr>
            <w:r>
              <w:t xml:space="preserve">Hex</w:t>
            </w:r>
          </w:p>
        </w:tc>
        <w:tc>
          <w:tcPr/>
          <w:p>
            <w:pPr>
              <w:pStyle w:val="Compact"/>
              <w:jc w:val="right"/>
            </w:pPr>
            <w:r>
              <w:t xml:space="preserve">键帽数量</w:t>
            </w:r>
          </w:p>
        </w:tc>
        <w:tc>
          <w:tcPr/>
          <w:p>
            <w:pPr>
              <w:pStyle w:val="Compact"/>
              <w:jc w:val="left"/>
            </w:pPr>
            <w:r>
              <w:t xml:space="preserve">用于</w:t>
            </w:r>
          </w:p>
        </w:tc>
      </w:tr>
      <w:tr>
        <w:tc>
          <w:tcPr/>
          <w:p>
            <w:pPr>
              <w:pStyle w:val="Compact"/>
              <w:jc w:val="left"/>
            </w:pPr>
            <w:r>
              <w:t xml:space="preserve">深海军蓝</w:t>
            </w:r>
          </w:p>
        </w:tc>
        <w:tc>
          <w:tcPr/>
          <w:p>
            <w:pPr>
              <w:pStyle w:val="Compact"/>
              <w:jc w:val="left"/>
            </w:pPr>
            <w:r>
              <w:t xml:space="preserve">浓郁的海军蓝</w:t>
            </w:r>
          </w:p>
        </w:tc>
        <w:tc>
          <w:tcPr/>
          <w:p>
            <w:pPr>
              <w:pStyle w:val="Compact"/>
              <w:jc w:val="left"/>
            </w:pPr>
            <w:r>
              <w:rPr>
                <w:rStyle w:val="VerbatimChar"/>
              </w:rPr>
              <w:t xml:space="preserve">#0A2240</w:t>
            </w:r>
          </w:p>
        </w:tc>
        <w:tc>
          <w:tcPr/>
          <w:p>
            <w:pPr>
              <w:pStyle w:val="Compact"/>
              <w:jc w:val="right"/>
            </w:pPr>
            <w:r>
              <w:t xml:space="preserve">65</w:t>
            </w:r>
          </w:p>
        </w:tc>
        <w:tc>
          <w:tcPr/>
          <w:p>
            <w:pPr>
              <w:pStyle w:val="Compact"/>
              <w:jc w:val="left"/>
            </w:pPr>
            <w:r>
              <w:t xml:space="preserve">哑光 — 字母、数字、F 行、标点、Enter、导航键群(Druck、Rollen、Pause、Einf)</w:t>
            </w:r>
          </w:p>
        </w:tc>
      </w:tr>
      <w:tr>
        <w:tc>
          <w:tcPr/>
          <w:p>
            <w:pPr>
              <w:pStyle w:val="Compact"/>
              <w:jc w:val="left"/>
            </w:pPr>
            <w:r>
              <w:t xml:space="preserve">酒红色</w:t>
            </w:r>
          </w:p>
        </w:tc>
        <w:tc>
          <w:tcPr/>
          <w:p>
            <w:pPr>
              <w:pStyle w:val="Compact"/>
              <w:jc w:val="left"/>
            </w:pPr>
            <w:r>
              <w:t xml:space="preserve">深沉的牛血红</w:t>
            </w:r>
          </w:p>
        </w:tc>
        <w:tc>
          <w:tcPr/>
          <w:p>
            <w:pPr>
              <w:pStyle w:val="Compact"/>
              <w:jc w:val="left"/>
            </w:pPr>
            <w:r>
              <w:rPr>
                <w:rStyle w:val="VerbatimChar"/>
              </w:rPr>
              <w:t xml:space="preserve">#5D2A2C</w:t>
            </w:r>
          </w:p>
        </w:tc>
        <w:tc>
          <w:tcPr/>
          <w:p>
            <w:pPr>
              <w:pStyle w:val="Compact"/>
              <w:jc w:val="right"/>
            </w:pPr>
            <w:r>
              <w:t xml:space="preserve">19</w:t>
            </w:r>
          </w:p>
        </w:tc>
        <w:tc>
          <w:tcPr/>
          <w:p>
            <w:pPr>
              <w:pStyle w:val="Compact"/>
              <w:jc w:val="left"/>
            </w:pPr>
            <w:r>
              <w:t xml:space="preserve">UV 涂层细微光泽 — Tab、Caps、Shift × 3、Strg × 3、Alt、AltGr × 2、Fn、Win × 2、Menu、Pos1、Ende、Bild ↑ ↓</w:t>
            </w:r>
          </w:p>
        </w:tc>
      </w:tr>
      <w:tr>
        <w:tc>
          <w:tcPr/>
          <w:p>
            <w:pPr>
              <w:pStyle w:val="Compact"/>
              <w:jc w:val="left"/>
            </w:pPr>
            <w:r>
              <w:rPr>
                <w:bCs/>
                <w:b/>
              </w:rPr>
              <w:t xml:space="preserve">鬼金色</w:t>
            </w:r>
          </w:p>
        </w:tc>
        <w:tc>
          <w:tcPr/>
          <w:p>
            <w:pPr>
              <w:pStyle w:val="Compact"/>
              <w:jc w:val="left"/>
            </w:pPr>
            <w:r>
              <w:rPr>
                <w:bCs/>
                <w:b/>
              </w:rPr>
              <w:t xml:space="preserve">温暖的金属黄铜</w:t>
            </w:r>
          </w:p>
        </w:tc>
        <w:tc>
          <w:tcPr/>
          <w:p>
            <w:pPr>
              <w:pStyle w:val="Compact"/>
              <w:jc w:val="left"/>
            </w:pPr>
            <w:r>
              <w:rPr>
                <w:rStyle w:val="VerbatimChar"/>
              </w:rPr>
              <w:t xml:space="preserve">#B89048</w:t>
            </w:r>
          </w:p>
        </w:tc>
        <w:tc>
          <w:tcPr/>
          <w:p>
            <w:pPr>
              <w:pStyle w:val="Compact"/>
              <w:jc w:val="right"/>
            </w:pPr>
            <w:r>
              <w:rPr>
                <w:bCs/>
                <w:b/>
              </w:rPr>
              <w:t xml:space="preserve">9</w:t>
            </w:r>
          </w:p>
        </w:tc>
        <w:tc>
          <w:tcPr/>
          <w:p>
            <w:pPr>
              <w:pStyle w:val="Compact"/>
              <w:jc w:val="left"/>
            </w:pPr>
            <w:r>
              <w:rPr>
                <w:bCs/>
                <w:b/>
              </w:rPr>
              <w:t xml:space="preserve">金属光泽 — Esc、空格键、Backspace、Entf、全部四个方向键(↑ ↓ ← →)、</w:t>
            </w:r>
            <w:r>
              <w:rPr>
                <w:rStyle w:val="VerbatimChar"/>
                <w:bCs/>
                <w:b/>
              </w:rPr>
              <w:t xml:space="preserve">key_empty</w:t>
            </w:r>
            <w:r>
              <w:rPr>
                <w:bCs/>
                <w:b/>
              </w:rPr>
              <w:t xml:space="preserve">(带汉字标志)</w:t>
            </w:r>
          </w:p>
        </w:tc>
      </w:tr>
      <w:tr>
        <w:tc>
          <w:tcPr/>
          <w:p>
            <w:pPr>
              <w:pStyle w:val="Compact"/>
              <w:jc w:val="left"/>
            </w:pPr>
            <w:r>
              <w:rPr>
                <w:bCs/>
                <w:b/>
              </w:rPr>
              <w:t xml:space="preserve">总计</w:t>
            </w:r>
          </w:p>
        </w:tc>
        <w:tc>
          <w:tcPr/>
          <w:p>
            <w:pPr>
              <w:pStyle w:val="Compact"/>
            </w:pPr>
          </w:p>
        </w:tc>
        <w:tc>
          <w:tcPr/>
          <w:p>
            <w:pPr>
              <w:pStyle w:val="Compact"/>
            </w:pPr>
          </w:p>
        </w:tc>
        <w:tc>
          <w:tcPr/>
          <w:p>
            <w:pPr>
              <w:pStyle w:val="Compact"/>
              <w:jc w:val="right"/>
            </w:pPr>
            <w:r>
              <w:rPr>
                <w:bCs/>
                <w:b/>
              </w:rPr>
              <w:t xml:space="preserve">93</w:t>
            </w:r>
          </w:p>
        </w:tc>
        <w:tc>
          <w:tcPr/>
          <w:p>
            <w:pPr>
              <w:pStyle w:val="Compact"/>
            </w:pPr>
          </w:p>
        </w:tc>
      </w:tr>
    </w:tbl>
    <w:bookmarkStart w:id="20" w:name="金色-让本套件与众不同之处"/>
    <w:p>
      <w:pPr>
        <w:pStyle w:val="Heading3"/>
      </w:pPr>
      <w:r>
        <w:t xml:space="preserve">金色 — 让本套件与众不同之处</w:t>
      </w:r>
    </w:p>
    <w:p>
      <w:pPr>
        <w:pStyle w:val="FirstParagraph"/>
      </w:pPr>
      <w:r>
        <w:t xml:space="preserve">温暖的金属黄铜是我们最看重的设计特点,它在键盘上出现在</w:t>
      </w:r>
      <w:r>
        <w:rPr>
          <w:bCs/>
          <w:b/>
        </w:rPr>
        <w:t xml:space="preserve">两个位置</w:t>
      </w:r>
      <w:r>
        <w:t xml:space="preserve">:</w:t>
      </w:r>
    </w:p>
    <w:p>
      <w:pPr>
        <w:pStyle w:val="BodyText"/>
      </w:pPr>
      <w:r>
        <w:rPr>
          <w:bCs/>
          <w:b/>
        </w:rPr>
        <w:t xml:space="preserve">1. 九个鬼金色键帽</w:t>
      </w:r>
      <w:r>
        <w:t xml:space="preserve">(Esc、空格键、Backspace、Entf、全部四个方向键、</w:t>
      </w:r>
      <w:r>
        <w:rPr>
          <w:rStyle w:val="VerbatimChar"/>
        </w:rPr>
        <w:t xml:space="preserve">key_empty</w:t>
      </w:r>
      <w:r>
        <w:t xml:space="preserve">)— 这些键帽的本体采用金属黄铜质感,接近您在 2026-05-13 分享给我们的 Gundam ASW-G-08 金属金色样品(图片 1)。方向键和空格键在深海军蓝与酒红的背景中形成一组温暖的光亮聚集。</w:t>
      </w:r>
    </w:p>
    <w:p>
      <w:pPr>
        <w:pStyle w:val="BodyText"/>
      </w:pPr>
      <w:r>
        <w:rPr>
          <w:bCs/>
          <w:b/>
        </w:rPr>
        <w:t xml:space="preserve">2. 所有深色键帽上的字符</w:t>
      </w:r>
      <w:r>
        <w:t xml:space="preserve">(海军蓝和酒红色上的字母、数字、符号、F 键、修饰键文字)— 使用</w:t>
      </w:r>
      <w:r>
        <w:rPr>
          <w:bCs/>
          <w:b/>
        </w:rPr>
        <w:t xml:space="preserve">同一种金属金色</w:t>
      </w:r>
      <w:r>
        <w:t xml:space="preserve">印刷,使整块键盘上的排版在深色背景中呈现为温暖的金色光辉。字符应具有与鬼金色键帽相同的黄铜光泽,而不是平淡的印刷金色。键帽饰面与印刷字符应感觉像是一种连续的金属金色材质。</w:t>
      </w:r>
    </w:p>
    <w:p>
      <w:pPr>
        <w:pStyle w:val="BodyText"/>
      </w:pPr>
      <w:r>
        <w:t xml:space="preserve">您最了解您的生产工艺 — 请选择您方便采用的任何方式来实现这种金属感(金属油墨、烫金、涂层,或任意组合)。如果您的标准工艺无法实现,请告知我们并提出您的建议,我们会共同找到合适的路径。</w:t>
      </w:r>
    </w:p>
    <w:p>
      <w:pPr>
        <w:pStyle w:val="BodyText"/>
      </w:pPr>
      <w:r>
        <w:t xml:space="preserve">如果符合您的标准工艺,酒红色键帽若能有柔和的 UV 涂层光泽会很棒,但哑光也能接受。海军蓝键帽保持哑光。</w:t>
      </w:r>
    </w:p>
    <w:p>
      <w:r>
        <w:pict>
          <v:rect style="width:0;height:1.5pt" o:hralign="center" o:hrstd="t" o:hr="t"/>
        </w:pict>
      </w:r>
    </w:p>
    <w:bookmarkEnd w:id="20"/>
    <w:bookmarkEnd w:id="21"/>
    <w:bookmarkStart w:id="22" w:name="字符印刷颜色"/>
    <w:p>
      <w:pPr>
        <w:pStyle w:val="Heading2"/>
      </w:pPr>
      <w:r>
        <w:t xml:space="preserve">2. 字符(印刷)颜色</w:t>
      </w:r>
    </w:p>
    <w:tbl>
      <w:tblPr>
        <w:tblStyle w:val="Table"/>
        <w:tblW w:type="auto" w:w="0"/>
        <w:tblLook w:firstRow="1" w:lastRow="0" w:firstColumn="0" w:lastColumn="0" w:noHBand="0" w:noVBand="0" w:val="0020"/>
        <w:jc w:val="start"/>
      </w:tblPr>
      <w:tblGrid>
        <w:gridCol w:w="3500"/>
        <w:gridCol w:w="1500"/>
        <w:gridCol w:w="1100"/>
        <w:gridCol w:w="3260"/>
      </w:tblGrid>
      <w:tr>
        <w:trPr>
          <w:tblHeader w:val="true"/>
        </w:trPr>
        <w:tc>
          <w:tcPr/>
          <w:p>
            <w:pPr>
              <w:pStyle w:val="Compact"/>
              <w:jc w:val="left"/>
            </w:pPr>
            <w:r>
              <w:t xml:space="preserve">位置</w:t>
            </w:r>
          </w:p>
        </w:tc>
        <w:tc>
          <w:tcPr/>
          <w:p>
            <w:pPr>
              <w:pStyle w:val="Compact"/>
              <w:jc w:val="left"/>
            </w:pPr>
            <w:r>
              <w:t xml:space="preserve">颜色</w:t>
            </w:r>
          </w:p>
        </w:tc>
        <w:tc>
          <w:tcPr/>
          <w:p>
            <w:pPr>
              <w:pStyle w:val="Compact"/>
              <w:jc w:val="left"/>
            </w:pPr>
            <w:r>
              <w:t xml:space="preserve">Hex</w:t>
            </w:r>
          </w:p>
        </w:tc>
        <w:tc>
          <w:tcPr/>
          <w:p>
            <w:pPr>
              <w:pStyle w:val="Compact"/>
              <w:jc w:val="left"/>
            </w:pPr>
            <w:r>
              <w:t xml:space="preserve">饰面</w:t>
            </w:r>
          </w:p>
        </w:tc>
      </w:tr>
      <w:tr>
        <w:tc>
          <w:tcPr/>
          <w:p>
            <w:pPr>
              <w:pStyle w:val="Compact"/>
              <w:jc w:val="left"/>
            </w:pPr>
            <w:r>
              <w:t xml:space="preserve">海军蓝和酒红色上的字母、数字、符号、F 键、修饰键文字</w:t>
            </w:r>
          </w:p>
        </w:tc>
        <w:tc>
          <w:tcPr/>
          <w:p>
            <w:pPr>
              <w:pStyle w:val="Compact"/>
              <w:jc w:val="left"/>
            </w:pPr>
            <w:r>
              <w:t xml:space="preserve">鬼金色</w:t>
            </w:r>
          </w:p>
        </w:tc>
        <w:tc>
          <w:tcPr/>
          <w:p>
            <w:pPr>
              <w:pStyle w:val="Compact"/>
              <w:jc w:val="left"/>
            </w:pPr>
            <w:r>
              <w:rPr>
                <w:rStyle w:val="VerbatimChar"/>
              </w:rPr>
              <w:t xml:space="preserve">#B89048</w:t>
            </w:r>
          </w:p>
        </w:tc>
        <w:tc>
          <w:tcPr/>
          <w:p>
            <w:pPr>
              <w:pStyle w:val="Compact"/>
              <w:jc w:val="left"/>
            </w:pPr>
            <w:r>
              <w:rPr>
                <w:bCs/>
                <w:b/>
              </w:rPr>
              <w:t xml:space="preserve">金属光泽(与鬼金色键帽一致)</w:t>
            </w:r>
          </w:p>
        </w:tc>
      </w:tr>
      <w:tr>
        <w:tc>
          <w:tcPr/>
          <w:p>
            <w:pPr>
              <w:pStyle w:val="Compact"/>
              <w:jc w:val="left"/>
            </w:pPr>
            <w:r>
              <w:t xml:space="preserve">鬼金色键帽上的字符与 面 汉字</w:t>
            </w:r>
          </w:p>
        </w:tc>
        <w:tc>
          <w:tcPr/>
          <w:p>
            <w:pPr>
              <w:pStyle w:val="Compact"/>
              <w:jc w:val="left"/>
            </w:pPr>
            <w:r>
              <w:t xml:space="preserve">深海军蓝</w:t>
            </w:r>
          </w:p>
        </w:tc>
        <w:tc>
          <w:tcPr/>
          <w:p>
            <w:pPr>
              <w:pStyle w:val="Compact"/>
              <w:jc w:val="left"/>
            </w:pPr>
            <w:r>
              <w:rPr>
                <w:rStyle w:val="VerbatimChar"/>
              </w:rPr>
              <w:t xml:space="preserve">#0A2240</w:t>
            </w:r>
          </w:p>
        </w:tc>
        <w:tc>
          <w:tcPr/>
          <w:p>
            <w:pPr>
              <w:pStyle w:val="Compact"/>
              <w:jc w:val="left"/>
            </w:pPr>
            <w:r>
              <w:t xml:space="preserve">平面(无光泽)</w:t>
            </w:r>
          </w:p>
        </w:tc>
      </w:tr>
    </w:tbl>
    <w:p>
      <w:pPr>
        <w:pStyle w:val="BodyText"/>
      </w:pPr>
      <w:r>
        <w:t xml:space="preserve">金色字符与金色键帽共享</w:t>
      </w:r>
      <w:r>
        <w:rPr>
          <w:bCs/>
          <w:b/>
        </w:rPr>
        <w:t xml:space="preserve">同一种材质感</w:t>
      </w:r>
      <w:r>
        <w:t xml:space="preserve"> — 相同的颜色,相同的金属光泽。这一点对本套件至关重要:深色键帽上闪烁的金色排版,是这块键盘看起来浑然一体的关键,而不是两种不同的金色相邻摆放。</w:t>
      </w:r>
    </w:p>
    <w:p>
      <w:pPr>
        <w:pStyle w:val="BodyText"/>
      </w:pPr>
      <w:r>
        <w:t xml:space="preserve">鬼金色键帽反转此关系 — 在金属金色基底上使用平面的深海军蓝字符 — 为英雄键带来视觉对比。</w:t>
      </w:r>
    </w:p>
    <w:p>
      <w:r>
        <w:pict>
          <v:rect style="width:0;height:1.5pt" o:hralign="center" o:hrstd="t" o:hr="t"/>
        </w:pict>
      </w:r>
    </w:p>
    <w:bookmarkEnd w:id="22"/>
    <w:bookmarkStart w:id="23" w:name="字体与排版"/>
    <w:p>
      <w:pPr>
        <w:pStyle w:val="Heading2"/>
      </w:pPr>
      <w:r>
        <w:t xml:space="preserve">3. 字体与排版</w:t>
      </w:r>
    </w:p>
    <w:p>
      <w:pPr>
        <w:numPr>
          <w:ilvl w:val="0"/>
          <w:numId w:val="1001"/>
        </w:numPr>
        <w:pStyle w:val="Compact"/>
      </w:pPr>
      <w:r>
        <w:rPr>
          <w:bCs/>
          <w:b/>
        </w:rPr>
        <w:t xml:space="preserve">字体:</w:t>
      </w:r>
      <w:r>
        <w:t xml:space="preserve"> EB Garamond Medium(开源衬线字体,SIL 开源字体许可证)</w:t>
      </w:r>
    </w:p>
    <w:p>
      <w:pPr>
        <w:numPr>
          <w:ilvl w:val="0"/>
          <w:numId w:val="1001"/>
        </w:numPr>
        <w:pStyle w:val="Compact"/>
      </w:pPr>
      <w:r>
        <w:t xml:space="preserve">PostScript 名称: </w:t>
      </w:r>
      <w:r>
        <w:rPr>
          <w:rStyle w:val="VerbatimChar"/>
        </w:rPr>
        <w:t xml:space="preserve">EBGaramondRoman-Medium</w:t>
      </w:r>
    </w:p>
    <w:p>
      <w:pPr>
        <w:numPr>
          <w:ilvl w:val="0"/>
          <w:numId w:val="1001"/>
        </w:numPr>
        <w:pStyle w:val="Compact"/>
      </w:pPr>
      <w:r>
        <w:rPr>
          <w:bCs/>
          <w:b/>
        </w:rPr>
        <w:t xml:space="preserve">排版:</w:t>
      </w:r>
      <w:r>
        <w:t xml:space="preserve"> ISO-DE 标准 — 特殊字符在上(主),数字在下(副)</w:t>
      </w:r>
    </w:p>
    <w:p>
      <w:pPr>
        <w:numPr>
          <w:ilvl w:val="0"/>
          <w:numId w:val="1001"/>
        </w:numPr>
        <w:pStyle w:val="Compact"/>
      </w:pPr>
      <w:r>
        <w:rPr>
          <w:bCs/>
          <w:b/>
        </w:rPr>
        <w:t xml:space="preserve">变音符号</w:t>
      </w:r>
      <w:r>
        <w:t xml:space="preserve">(</w:t>
      </w:r>
      <w:r>
        <w:rPr>
          <w:rStyle w:val="VerbatimChar"/>
        </w:rPr>
        <w:t xml:space="preserve">^</w:t>
      </w:r>
      <w:r>
        <w:t xml:space="preserve">、</w:t>
      </w:r>
      <w:r>
        <w:rPr>
          <w:rStyle w:val="VerbatimChar"/>
        </w:rPr>
        <w:t xml:space="preserve">´</w:t>
      </w:r>
      <w:r>
        <w:t xml:space="preserve">、</w:t>
      </w:r>
      <w:r>
        <w:rPr>
          <w:rStyle w:val="VerbatimChar"/>
        </w:rPr>
        <w:t xml:space="preserve">°</w:t>
      </w:r>
      <w:r>
        <w:t xml:space="preserve">、</w:t>
      </w:r>
      <w:r>
        <w:rPr>
          <w:rStyle w:val="VerbatimChar"/>
        </w:rPr>
        <w:t xml:space="preserve">`</w:t>
      </w:r>
      <w:r>
        <w:t xml:space="preserve">)和</w:t>
      </w:r>
      <w:r>
        <w:rPr>
          <w:bCs/>
          <w:b/>
        </w:rPr>
        <w:t xml:space="preserve">上标</w:t>
      </w:r>
      <w:r>
        <w:t xml:space="preserve">(</w:t>
      </w:r>
      <w:r>
        <w:rPr>
          <w:rStyle w:val="VerbatimChar"/>
        </w:rPr>
        <w:t xml:space="preserve">²</w:t>
      </w:r>
      <w:r>
        <w:t xml:space="preserve">、</w:t>
      </w:r>
      <w:r>
        <w:rPr>
          <w:rStyle w:val="VerbatimChar"/>
        </w:rPr>
        <w:t xml:space="preserve">³</w:t>
      </w:r>
      <w:r>
        <w:t xml:space="preserve">)位于键帽顶部,不与基线对齐</w:t>
      </w:r>
    </w:p>
    <w:p>
      <w:pPr>
        <w:numPr>
          <w:ilvl w:val="0"/>
          <w:numId w:val="1001"/>
        </w:numPr>
        <w:pStyle w:val="Compact"/>
      </w:pPr>
      <w:r>
        <w:rPr>
          <w:bCs/>
          <w:b/>
        </w:rPr>
        <w:t xml:space="preserve">方向键符号</w:t>
      </w:r>
      <w:r>
        <w:t xml:space="preserve">(↑ ↓ ← →)在键帽上数学居中,字号比字母大</w:t>
      </w:r>
    </w:p>
    <w:p>
      <w:pPr>
        <w:numPr>
          <w:ilvl w:val="0"/>
          <w:numId w:val="1001"/>
        </w:numPr>
        <w:pStyle w:val="Compact"/>
      </w:pPr>
      <w:r>
        <w:t xml:space="preserve">矢量字符轮廓已包含在源文件中</w:t>
      </w:r>
    </w:p>
    <w:p>
      <w:r>
        <w:pict>
          <v:rect style="width:0;height:1.5pt" o:hralign="center" o:hrstd="t" o:hr="t"/>
        </w:pict>
      </w:r>
    </w:p>
    <w:bookmarkEnd w:id="23"/>
    <w:bookmarkStart w:id="24" w:name="品牌细节-面-汉字"/>
    <w:p>
      <w:pPr>
        <w:pStyle w:val="Heading2"/>
      </w:pPr>
      <w:r>
        <w:t xml:space="preserve">4. 品牌细节 — 面 汉字</w:t>
      </w:r>
    </w:p>
    <w:p>
      <w:pPr>
        <w:pStyle w:val="FirstParagraph"/>
      </w:pPr>
      <w:r>
        <w:t xml:space="preserve">鬼面使用两个相关的品牌元素,均由同一个汉字构成:</w:t>
      </w:r>
    </w:p>
    <w:tbl>
      <w:tblPr>
        <w:tblStyle w:val="Table"/>
        <w:tblW w:type="auto" w:w="0"/>
        <w:tblLook w:firstRow="1" w:lastRow="0" w:firstColumn="0" w:lastColumn="0" w:noHBand="0" w:noVBand="0" w:val="0020"/>
        <w:jc w:val="start"/>
      </w:tblPr>
      <w:tblGrid>
        <w:gridCol w:w="3200"/>
        <w:gridCol w:w="6160"/>
      </w:tblGrid>
      <w:tr>
        <w:trPr>
          <w:tblHeader w:val="true"/>
        </w:trPr>
        <w:tc>
          <w:tcPr/>
          <w:p>
            <w:pPr>
              <w:pStyle w:val="Compact"/>
              <w:jc w:val="left"/>
            </w:pPr>
            <w:r>
              <w:t xml:space="preserve">键帽</w:t>
            </w:r>
          </w:p>
        </w:tc>
        <w:tc>
          <w:tcPr/>
          <w:p>
            <w:pPr>
              <w:pStyle w:val="Compact"/>
              <w:jc w:val="left"/>
            </w:pPr>
            <w:r>
              <w:t xml:space="preserve">元素</w:t>
            </w:r>
          </w:p>
        </w:tc>
      </w:tr>
      <w:tr>
        <w:tc>
          <w:tcPr/>
          <w:p>
            <w:pPr>
              <w:pStyle w:val="Compact"/>
              <w:jc w:val="left"/>
            </w:pPr>
            <w:r>
              <w:t xml:space="preserve">空格键(6.25u 鬼金色)</w:t>
            </w:r>
          </w:p>
        </w:tc>
        <w:tc>
          <w:tcPr/>
          <w:p>
            <w:pPr>
              <w:pStyle w:val="Compact"/>
              <w:jc w:val="left"/>
            </w:pPr>
            <w:r>
              <w:t>汉字 面(mian,“面具”)居中,平面深海军蓝色</w:t>
            </w:r>
          </w:p>
        </w:tc>
      </w:tr>
      <w:tr>
        <w:tc>
          <w:tcPr/>
          <w:p>
            <w:pPr>
              <w:pStyle w:val="Compact"/>
              <w:jc w:val="left"/>
            </w:pPr>
            <w:r>
              <w:rPr>
                <w:rStyle w:val="VerbatimChar"/>
              </w:rPr>
              <w:t xml:space="preserve">key_empty</w:t>
            </w:r>
            <w:r>
              <w:t xml:space="preserve">(1u 鬼金色,右上角)</w:t>
            </w:r>
          </w:p>
        </w:tc>
        <w:tc>
          <w:tcPr/>
          <w:p>
            <w:pPr>
              <w:pStyle w:val="Compact"/>
              <w:jc w:val="left"/>
            </w:pPr>
            <w:r>
              <w:t xml:space="preserve">同一汉字 面 缩小,适配 1u 键帽尺寸</w:t>
            </w:r>
          </w:p>
        </w:tc>
      </w:tr>
    </w:tbl>
    <w:p>
      <w:pPr>
        <w:pStyle w:val="BodyText"/>
      </w:pPr>
      <w:r>
        <w:t xml:space="preserve">该汉字在源文件中作为矢量字符渲染(非光栅图像),因此可在任何生产比例下清晰打印,无需担心分辨率问题。它呼应了启发本套件的日本能剧般若面具传统,同时与键盘其余部分在字体上保持一致。</w:t>
      </w:r>
    </w:p>
    <w:p>
      <w:r>
        <w:pict>
          <v:rect style="width:0;height:1.5pt" o:hralign="center" o:hrstd="t" o:hr="t"/>
        </w:pict>
      </w:r>
    </w:p>
    <w:bookmarkEnd w:id="24"/>
    <w:bookmarkStart w:id="25" w:name="大规模生产之前"/>
    <w:p>
      <w:pPr>
        <w:pStyle w:val="Heading2"/>
      </w:pPr>
      <w:r>
        <w:t xml:space="preserve">5. 大规模生产之前</w:t>
      </w:r>
    </w:p>
    <w:p>
      <w:pPr>
        <w:pStyle w:val="FirstParagraph"/>
      </w:pPr>
      <w:r>
        <w:t xml:space="preserve">我们希望先看到这套样品 — 您方便用任何方式都可以,让我们对成品有清晰的印象。金色出现的两个位置(九个鬼金色键帽</w:t>
      </w:r>
      <w:r>
        <w:rPr>
          <w:bCs/>
          <w:b/>
        </w:rPr>
        <w:t xml:space="preserve">和</w:t>
      </w:r>
      <w:r>
        <w:t xml:space="preserve">深色键帽上的金色字符)是我们最好奇的部分,如果您能把这两个部分都包含在任何展示样品中,那就太棒了。一旦我们有机会审核并确认后,就可以一同推进生产。</w:t>
      </w:r>
    </w:p>
    <w:p>
      <w:pPr>
        <w:pStyle w:val="BodyText"/>
      </w:pPr>
      <w:r>
        <w:t xml:space="preserve">以上所有颜色都是视觉目标 — 如果您的标准工艺能够实现,那再好不过。金属质感 — 既体现在九个鬼金色键帽上,也体现在深色键帽的金色字符上 — 是我们最看重的设计特点。您是生产方面的专家,请选择您方便采用的方式。如果有任何无法实现的部分,请告知我们并提出您的建议,我们会共同找到合适的路径。</w:t>
      </w:r>
    </w:p>
    <w:bookmarkEnd w:id="25"/>
    <w:bookmarkEnd w:id="26"/>
    <w:sect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2026-05-19T14:21:57Z</dcterms:created>
  <dcterms:modified xsi:type="dcterms:W3CDTF">2026-05-19T14:21:57Z</dcterms:modified>
</cp:coreProperties>
</file>

<file path=docProps/custom.xml><?xml version="1.0" encoding="utf-8"?>
<Properties xmlns="http://schemas.openxmlformats.org/officeDocument/2006/custom-properties" xmlns:vt="http://schemas.openxmlformats.org/officeDocument/2006/docPropsVTypes"/>
</file>