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Poppins" w:cs="Poppins" w:eastAsia="Poppins" w:hAnsi="Poppins"/>
          <w:b/>
          <w:bCs/>
          <w:color w:val="800000"/>
          <w:spacing w:val="80"/>
          <w:sz w:val="96"/>
          <w:szCs w:val="96"/>
        </w:rPr>
        <w:t xml:space="preserve">DOSSIER</w:t>
      </w:r>
    </w:p>
    <w:p>
      <w:pPr>
        <w:spacing w:after="480" w:before="0"/>
        <w:jc w:val="center"/>
      </w:pPr>
      <w:r>
        <w:rPr>
          <w:rFonts w:ascii="Poppins" w:cs="Poppins" w:eastAsia="Poppins" w:hAnsi="Poppins"/>
          <w:b/>
          <w:bCs/>
          <w:color w:val="660000"/>
          <w:sz w:val="36"/>
          <w:szCs w:val="36"/>
        </w:rPr>
        <w:t xml:space="preserve">V 2.2</w:t>
      </w:r>
    </w:p>
    <w:p>
      <w:pPr>
        <w:pBdr>
          <w:bottom w:val="single" w:color="800000" w:sz="24" w:space="12"/>
        </w:pBdr>
        <w:spacing w:after="0"/>
        <w:jc w:val="center"/>
      </w:pPr>
      <w:r>
        <w:rPr>
          <w:rFonts w:ascii="Mulish" w:cs="Mulish" w:eastAsia="Mulish" w:hAnsi="Mulish"/>
          <w:sz w:val="8"/>
          <w:szCs w:val="8"/>
        </w:rPr>
        <w:t xml:space="preserve"> </w:t>
      </w:r>
    </w:p>
    <w:p>
      <w:pPr>
        <w:spacing w:after="320" w:before="480"/>
        <w:jc w:val="center"/>
      </w:pPr>
      <w:r>
        <w:rPr>
          <w:rFonts w:ascii="Poppins" w:cs="Poppins" w:eastAsia="Poppins" w:hAnsi="Poppins"/>
          <w:color w:val="333333"/>
          <w:sz w:val="36"/>
          <w:szCs w:val="36"/>
        </w:rPr>
        <w:t xml:space="preserve">Gasproblematiek en verweer naheffing</w:t>
      </w:r>
    </w:p>
    <w:p>
      <w:pPr>
        <w:spacing w:after="120"/>
        <w:jc w:val="center"/>
      </w:pPr>
      <w:r>
        <w:rPr>
          <w:rFonts w:ascii="Poppins" w:cs="Poppins" w:eastAsia="Poppins" w:hAnsi="Poppins"/>
          <w:b/>
          <w:bCs/>
          <w:i/>
          <w:iCs/>
          <w:color w:val="660000"/>
          <w:sz w:val="32"/>
          <w:szCs w:val="32"/>
        </w:rPr>
        <w:t xml:space="preserve">Landgoed De Stille Wille</w:t>
      </w:r>
    </w:p>
    <w:p>
      <w:pPr>
        <w:spacing w:after="1200"/>
        <w:jc w:val="center"/>
      </w:pPr>
      <w:r>
        <w:rPr>
          <w:rFonts w:ascii="Mulish" w:cs="Mulish" w:eastAsia="Mulish" w:hAnsi="Mulish"/>
          <w:color w:val="555555"/>
          <w:sz w:val="24"/>
          <w:szCs w:val="24"/>
        </w:rPr>
        <w:t xml:space="preserve">Oost-, West- en Middelbeers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800000" w:sz="12" w:space="0"/>
              <w:left w:val="single" w:color="800000" w:sz="12" w:space="0"/>
              <w:bottom w:val="single" w:color="800000" w:sz="12" w:space="0"/>
              <w:right w:val="single" w:color="800000" w:sz="12" w:space="0"/>
            </w:tcBorders>
            <w:shd w:fill="FAF0F0" w:val="clear"/>
            <w:tcMar>
              <w:top w:type="dxa" w:w="360"/>
              <w:left w:type="dxa" w:w="400"/>
              <w:bottom w:type="dxa" w:w="360"/>
              <w:right w:type="dxa" w:w="400"/>
            </w:tcMar>
          </w:tcPr>
          <w:p>
            <w:pPr>
              <w:spacing w:after="120"/>
              <w:jc w:val="center"/>
            </w:pPr>
            <w:r>
              <w:rPr>
                <w:rFonts w:ascii="Mulish" w:cs="Mulish" w:eastAsia="Mulish" w:hAnsi="Mulish"/>
                <w:i/>
                <w:iCs/>
                <w:color w:val="555555"/>
                <w:sz w:val="20"/>
                <w:szCs w:val="20"/>
              </w:rPr>
              <w:t xml:space="preserve">Opgesteld namens</w:t>
            </w:r>
          </w:p>
          <w:p>
            <w:pPr>
              <w:spacing w:after="240"/>
              <w:jc w:val="center"/>
            </w:pPr>
            <w:r>
              <w:rPr>
                <w:rFonts w:ascii="Poppins" w:cs="Poppins" w:eastAsia="Poppins" w:hAnsi="Poppins"/>
                <w:b/>
                <w:bCs/>
                <w:color w:val="800000"/>
                <w:sz w:val="26"/>
                <w:szCs w:val="26"/>
              </w:rPr>
              <w:t xml:space="preserve">de gasverbruikende bewoners</w:t>
            </w:r>
          </w:p>
          <w:p>
            <w:pPr>
              <w:spacing w:after="0"/>
              <w:jc w:val="center"/>
            </w:pPr>
            <w:r>
              <w:rPr>
                <w:rFonts w:ascii="Mulish" w:cs="Mulish" w:eastAsia="Mulish" w:hAnsi="Mulish"/>
                <w:color w:val="333333"/>
                <w:sz w:val="22"/>
                <w:szCs w:val="22"/>
              </w:rPr>
              <w:t xml:space="preserve">Mei 2026 — versie 2.2</w:t>
            </w:r>
          </w:p>
        </w:tc>
      </w:tr>
    </w:tbl>
    <w:p>
      <w:pPr>
        <w:spacing w:after="0" w:before="1200"/>
        <w:jc w:val="center"/>
      </w:pPr>
      <w:r>
        <w:rPr>
          <w:rFonts w:ascii="Mulish" w:cs="Mulish" w:eastAsia="Mulish" w:hAnsi="Mulish"/>
          <w:i/>
          <w:iCs/>
          <w:color w:val="777777"/>
          <w:sz w:val="18"/>
          <w:szCs w:val="18"/>
        </w:rPr>
        <w:t xml:space="preserve">Bestemd voor rechtsbijstandsverzekeraar, juridisch adviseur en bewoners</w:t>
      </w:r>
    </w:p>
    <w:p>
      <w:r>
        <w:br w:type="page"/>
      </w:r>
    </w:p>
    <w:p>
      <w:pPr>
        <w:pStyle w:val="Heading2"/>
        <w:spacing w:after="180" w:before="320"/>
      </w:pPr>
      <w:r>
        <w:rPr>
          <w:rFonts w:ascii="Poppins" w:cs="Poppins" w:eastAsia="Poppins" w:hAnsi="Poppins"/>
          <w:b/>
          <w:bCs/>
          <w:color w:val="800000"/>
          <w:sz w:val="28"/>
          <w:szCs w:val="28"/>
        </w:rPr>
        <w:t xml:space="preserve">Wijzigingen ten opzichte van V2.1</w:t>
      </w:r>
    </w:p>
    <w:p>
      <w:pPr>
        <w:spacing w:after="140" w:before="0" w:line="360"/>
      </w:pPr>
      <w:r>
        <w:rPr>
          <w:rFonts w:ascii="Mulish" w:cs="Mulish" w:eastAsia="Mulish" w:hAnsi="Mulish"/>
          <w:sz w:val="22"/>
          <w:szCs w:val="22"/>
        </w:rPr>
        <w:t xml:space="preserve">Deze versie 2.2 voegt aan het dossier een derde hoofdcomponent toe in de afrekening — de structurele verhoging van het maandelijkse voorschotbedrag:</w:t>
      </w:r>
    </w:p>
    <w:p>
      <w:pPr>
        <w:pStyle w:val="ListParagraph"/>
        <w:numPr>
          <w:ilvl w:val="0"/>
          <w:numId w:val="2"/>
        </w:numPr>
        <w:spacing w:after="100" w:line="360"/>
      </w:pPr>
      <w:r>
        <w:rPr>
          <w:rFonts w:ascii="Mulish" w:cs="Mulish" w:eastAsia="Mulish" w:hAnsi="Mulish"/>
          <w:sz w:val="22"/>
          <w:szCs w:val="22"/>
        </w:rPr>
        <w:t xml:space="preserve">Nieuw aandachtspunt in hoofdstuk A (Samenvatting) en hoofdstuk B (Feitenrelaas): de fors verhoogde maandnota die het bovenmarktconforme tarief structureel verankert.</w:t>
      </w:r>
    </w:p>
    <w:p>
      <w:pPr>
        <w:pStyle w:val="ListParagraph"/>
        <w:numPr>
          <w:ilvl w:val="0"/>
          <w:numId w:val="2"/>
        </w:numPr>
        <w:spacing w:after="100" w:line="360"/>
      </w:pPr>
      <w:r>
        <w:rPr>
          <w:rFonts w:ascii="Mulish" w:cs="Mulish" w:eastAsia="Mulish" w:hAnsi="Mulish"/>
          <w:sz w:val="22"/>
          <w:szCs w:val="22"/>
        </w:rPr>
        <w:t xml:space="preserve">Nieuwe vetgedrukte bullet in hoofdstuk C.3: de combinatie van eenmalige correctie én structurele tariefverhoging plaatst de bewoner in een dubbele klem.</w:t>
      </w:r>
    </w:p>
    <w:p>
      <w:pPr>
        <w:pStyle w:val="ListParagraph"/>
        <w:numPr>
          <w:ilvl w:val="0"/>
          <w:numId w:val="2"/>
        </w:numPr>
        <w:spacing w:after="100" w:line="360"/>
      </w:pPr>
      <w:r>
        <w:rPr>
          <w:rFonts w:ascii="Mulish" w:cs="Mulish" w:eastAsia="Mulish" w:hAnsi="Mulish"/>
          <w:sz w:val="22"/>
          <w:szCs w:val="22"/>
        </w:rPr>
        <w:t xml:space="preserve">Achtste juridisch argument in de voorbeeldbrief (bijlage 1): "Structurele verankering bovenmarktconform tarief via nieuw voorschot".</w:t>
      </w:r>
    </w:p>
    <w:p>
      <w:pPr>
        <w:pStyle w:val="ListParagraph"/>
        <w:numPr>
          <w:ilvl w:val="0"/>
          <w:numId w:val="2"/>
        </w:numPr>
        <w:spacing w:after="100" w:line="360"/>
      </w:pPr>
      <w:r>
        <w:rPr>
          <w:rFonts w:ascii="Mulish" w:cs="Mulish" w:eastAsia="Mulish" w:hAnsi="Mulish"/>
          <w:sz w:val="22"/>
          <w:szCs w:val="22"/>
        </w:rPr>
        <w:t xml:space="preserve">Uitbreiding specificatieverzoek met punt e: berekening en onderbouwing nieuw maandelijks voorschotbedrag.</w:t>
      </w:r>
    </w:p>
    <w:p>
      <w:pPr>
        <w:pStyle w:val="ListParagraph"/>
        <w:numPr>
          <w:ilvl w:val="0"/>
          <w:numId w:val="2"/>
        </w:numPr>
        <w:spacing w:after="100" w:line="360"/>
      </w:pPr>
      <w:r>
        <w:rPr>
          <w:rFonts w:ascii="Mulish" w:cs="Mulish" w:eastAsia="Mulish" w:hAnsi="Mulish"/>
          <w:sz w:val="22"/>
          <w:szCs w:val="22"/>
        </w:rPr>
        <w:t xml:space="preserve">Aanvullende primaire eis in hoofdstuk E: herziening voorschotbedrag tot marktconform niveau.</w:t>
      </w:r>
    </w:p>
    <w:p>
      <w:pPr>
        <w:pStyle w:val="Heading2"/>
        <w:spacing w:after="180" w:before="320"/>
      </w:pPr>
      <w:r>
        <w:rPr>
          <w:rFonts w:ascii="Poppins" w:cs="Poppins" w:eastAsia="Poppins" w:hAnsi="Poppins"/>
          <w:b/>
          <w:bCs/>
          <w:color w:val="800000"/>
          <w:sz w:val="28"/>
          <w:szCs w:val="28"/>
        </w:rPr>
        <w:t xml:space="preserve">Wijzigingen ten opzichte van V2.0</w:t>
      </w:r>
    </w:p>
    <w:p>
      <w:pPr>
        <w:spacing w:after="140" w:before="0" w:line="360"/>
      </w:pPr>
      <w:r>
        <w:rPr>
          <w:rFonts w:ascii="Mulish" w:cs="Mulish" w:eastAsia="Mulish" w:hAnsi="Mulish"/>
          <w:sz w:val="22"/>
          <w:szCs w:val="22"/>
        </w:rPr>
        <w:t xml:space="preserve">Versie 2.1 versterkte het dossier met:</w:t>
      </w:r>
    </w:p>
    <w:p>
      <w:pPr>
        <w:pStyle w:val="ListParagraph"/>
        <w:numPr>
          <w:ilvl w:val="0"/>
          <w:numId w:val="2"/>
        </w:numPr>
        <w:spacing w:after="100" w:line="360"/>
      </w:pPr>
      <w:r>
        <w:rPr>
          <w:rFonts w:ascii="Mulish" w:cs="Mulish" w:eastAsia="Mulish" w:hAnsi="Mulish"/>
          <w:sz w:val="22"/>
          <w:szCs w:val="22"/>
        </w:rPr>
        <w:t xml:space="preserve">Aanvulling op hoofdstuk C.3 — expliciete onderbouwing van de willekeurige verdeelsleutel.</w:t>
      </w:r>
    </w:p>
    <w:p>
      <w:pPr>
        <w:pStyle w:val="ListParagraph"/>
        <w:numPr>
          <w:ilvl w:val="0"/>
          <w:numId w:val="2"/>
        </w:numPr>
        <w:spacing w:after="100" w:line="360"/>
      </w:pPr>
      <w:r>
        <w:rPr>
          <w:rFonts w:ascii="Mulish" w:cs="Mulish" w:eastAsia="Mulish" w:hAnsi="Mulish"/>
          <w:sz w:val="22"/>
          <w:szCs w:val="22"/>
        </w:rPr>
        <w:t xml:space="preserve">Nieuw argument in de voorbeeldbrief: "Willekeurige en onredelijke omslag — betalen voor vertrokken derden".</w:t>
      </w:r>
    </w:p>
    <w:p>
      <w:pPr>
        <w:pStyle w:val="Heading2"/>
        <w:spacing w:after="180" w:before="320"/>
      </w:pPr>
      <w:r>
        <w:rPr>
          <w:rFonts w:ascii="Poppins" w:cs="Poppins" w:eastAsia="Poppins" w:hAnsi="Poppins"/>
          <w:b/>
          <w:bCs/>
          <w:color w:val="800000"/>
          <w:sz w:val="28"/>
          <w:szCs w:val="28"/>
        </w:rPr>
        <w:t xml:space="preserve">Wijzigingen ten opzichte van V1.0</w:t>
      </w:r>
    </w:p>
    <w:p>
      <w:pPr>
        <w:spacing w:after="140" w:before="0" w:line="360"/>
      </w:pPr>
      <w:r>
        <w:rPr>
          <w:rFonts w:ascii="Mulish" w:cs="Mulish" w:eastAsia="Mulish" w:hAnsi="Mulish"/>
          <w:sz w:val="22"/>
          <w:szCs w:val="22"/>
        </w:rPr>
        <w:t xml:space="preserve">Versie 2.0 voegde aan het oorspronkelijke dossier het volgende toe:</w:t>
      </w:r>
    </w:p>
    <w:p>
      <w:pPr>
        <w:pStyle w:val="ListParagraph"/>
        <w:numPr>
          <w:ilvl w:val="0"/>
          <w:numId w:val="2"/>
        </w:numPr>
        <w:spacing w:after="100" w:line="360"/>
      </w:pPr>
      <w:r>
        <w:rPr>
          <w:rFonts w:ascii="Mulish" w:cs="Mulish" w:eastAsia="Mulish" w:hAnsi="Mulish"/>
          <w:sz w:val="22"/>
          <w:szCs w:val="22"/>
        </w:rPr>
        <w:t xml:space="preserve">Hoofdstuk C.4 — Misbruik economische machtspositie (art. 24 Mededingingswet), inclusief Rb. Rotterdam 13 februari 2025 (Leadiant/ACM).</w:t>
      </w:r>
    </w:p>
    <w:p>
      <w:pPr>
        <w:pStyle w:val="ListParagraph"/>
        <w:numPr>
          <w:ilvl w:val="0"/>
          <w:numId w:val="2"/>
        </w:numPr>
        <w:spacing w:after="100" w:line="360"/>
      </w:pPr>
      <w:r>
        <w:rPr>
          <w:rFonts w:ascii="Mulish" w:cs="Mulish" w:eastAsia="Mulish" w:hAnsi="Mulish"/>
          <w:sz w:val="22"/>
          <w:szCs w:val="22"/>
        </w:rPr>
        <w:t xml:space="preserve">Hoofdstuk C.5 — Mogelijk oneerlijke handelspraktijk onder art. 6:193a e.v. BW (Wet OHP).</w:t>
      </w:r>
    </w:p>
    <w:p>
      <w:pPr>
        <w:pStyle w:val="ListParagraph"/>
        <w:numPr>
          <w:ilvl w:val="0"/>
          <w:numId w:val="2"/>
        </w:numPr>
        <w:spacing w:after="100" w:line="360"/>
      </w:pPr>
      <w:r>
        <w:rPr>
          <w:rFonts w:ascii="Mulish" w:cs="Mulish" w:eastAsia="Mulish" w:hAnsi="Mulish"/>
          <w:sz w:val="22"/>
          <w:szCs w:val="22"/>
        </w:rPr>
        <w:t xml:space="preserve">Hoofdstuk C.6 — Samenvattend juridisch overzicht in tabelvorm.</w:t>
      </w:r>
    </w:p>
    <w:p>
      <w:pPr>
        <w:pStyle w:val="ListParagraph"/>
        <w:numPr>
          <w:ilvl w:val="0"/>
          <w:numId w:val="2"/>
        </w:numPr>
        <w:spacing w:after="100" w:line="360"/>
      </w:pPr>
      <w:r>
        <w:rPr>
          <w:rFonts w:ascii="Mulish" w:cs="Mulish" w:eastAsia="Mulish" w:hAnsi="Mulish"/>
          <w:sz w:val="22"/>
          <w:szCs w:val="22"/>
        </w:rPr>
        <w:t xml:space="preserve">Aanvullende onderbouwing in hoofdstuk B — analyse marktconformiteit propaantarief 2026.</w:t>
      </w:r>
    </w:p>
    <w:p>
      <w:pPr>
        <w:pStyle w:val="ListParagraph"/>
        <w:numPr>
          <w:ilvl w:val="0"/>
          <w:numId w:val="2"/>
        </w:numPr>
        <w:spacing w:after="100" w:line="360"/>
      </w:pPr>
      <w:r>
        <w:rPr>
          <w:rFonts w:ascii="Mulish" w:cs="Mulish" w:eastAsia="Mulish" w:hAnsi="Mulish"/>
          <w:sz w:val="22"/>
          <w:szCs w:val="22"/>
        </w:rPr>
        <w:t xml:space="preserve">Vernieuwde voorbeeldbrief in Bijlage 1.</w:t>
      </w:r>
    </w:p>
    <w:p>
      <w:pPr>
        <w:pStyle w:val="ListParagraph"/>
        <w:numPr>
          <w:ilvl w:val="0"/>
          <w:numId w:val="2"/>
        </w:numPr>
        <w:spacing w:after="100" w:line="360"/>
      </w:pPr>
      <w:r>
        <w:rPr>
          <w:rFonts w:ascii="Mulish" w:cs="Mulish" w:eastAsia="Mulish" w:hAnsi="Mulish"/>
          <w:sz w:val="22"/>
          <w:szCs w:val="22"/>
        </w:rPr>
        <w:t xml:space="preserve">Bijlage 4 — Wettelijke kaders: integrale teksten.</w:t>
      </w:r>
    </w:p>
    <w:p>
      <w:pPr>
        <w:pStyle w:val="ListParagraph"/>
        <w:numPr>
          <w:ilvl w:val="0"/>
          <w:numId w:val="2"/>
        </w:numPr>
        <w:spacing w:after="100" w:line="360"/>
      </w:pPr>
      <w:r>
        <w:rPr>
          <w:rFonts w:ascii="Mulish" w:cs="Mulish" w:eastAsia="Mulish" w:hAnsi="Mulish"/>
          <w:sz w:val="22"/>
          <w:szCs w:val="22"/>
        </w:rPr>
        <w:t xml:space="preserve">Bijlage 6 — Marktreferentie propaangasprijs 2026.</w:t>
      </w:r>
    </w:p>
    <w:p>
      <w:r>
        <w:br w:type="page"/>
      </w:r>
    </w:p>
    <w:p>
      <w:pPr>
        <w:pStyle w:val="Heading1"/>
        <w:pBdr>
          <w:bottom w:val="single" w:color="800000" w:sz="18" w:space="6"/>
        </w:pBdr>
        <w:spacing w:after="280" w:before="480"/>
      </w:pPr>
      <w:r>
        <w:rPr>
          <w:rFonts w:ascii="Poppins" w:cs="Poppins" w:eastAsia="Poppins" w:hAnsi="Poppins"/>
          <w:b/>
          <w:bCs/>
          <w:color w:val="800000"/>
          <w:sz w:val="40"/>
          <w:szCs w:val="40"/>
        </w:rPr>
        <w:t xml:space="preserve">A. Samenvatting</w:t>
      </w:r>
    </w:p>
    <w:p>
      <w:pPr>
        <w:spacing w:after="140" w:before="0" w:line="360"/>
      </w:pPr>
      <w:r>
        <w:rPr>
          <w:rFonts w:ascii="Mulish" w:cs="Mulish" w:eastAsia="Mulish" w:hAnsi="Mulish"/>
          <w:sz w:val="22"/>
          <w:szCs w:val="22"/>
        </w:rPr>
        <w:t xml:space="preserve">Stille Wille Brabant B.V. (hierna: SWB), de exploitant van Landgoed De Stille Wille, heeft in mei 2026 een naheffing van € 1,95 per verbruikte kubieke meter gas opgelegd aan de huidige groep gasverbruikende bewoners. Voor individuele huishoudens leidt dit tot bedragen tussen € 800 en € 900. De naheffing dekt een gepresenteerd exploitatietekort van € 36.797,48 over de periode 2024–2025.</w:t>
      </w:r>
    </w:p>
    <w:p>
      <w:pPr>
        <w:spacing w:after="140" w:before="0" w:line="360"/>
      </w:pPr>
      <w:r>
        <w:rPr>
          <w:rFonts w:ascii="Mulish" w:cs="Mulish" w:eastAsia="Mulish" w:hAnsi="Mulish"/>
          <w:sz w:val="22"/>
          <w:szCs w:val="22"/>
        </w:rPr>
        <w:t xml:space="preserve">Het tekort is volgens SWB ontstaan door twee oorzaken: administratieve fouten bij de overdracht van de administratie per 1 april 2025 (twee niet-geboekte inkoopfacturen van Benegas en een nagekomen tankhuurfactuur), en structurele lekverliezen op het verouderde gasdistributienet van het landgoed.</w:t>
      </w:r>
    </w:p>
    <w:p>
      <w:pPr>
        <w:spacing w:after="140" w:before="0" w:line="360"/>
      </w:pPr>
      <w:r>
        <w:rPr>
          <w:rFonts w:ascii="Mulish" w:cs="Mulish" w:eastAsia="Mulish" w:hAnsi="Mulish"/>
          <w:sz w:val="22"/>
          <w:szCs w:val="22"/>
        </w:rPr>
        <w:t xml:space="preserve">Naast de naheffing van € 1,95 per m³ ligt ook de basisprijs van € 5,55 per m³ gasvormig propaan ten grondslag aan deze afrekening. Onderzoek naar de marktconforme propaanprijs 2026 wijst uit dat dit basistarief zelf reeds 60 tot 85 procent boven marktniveau ligt, ook na verrekening van het lekverlies van circa 35%.</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Tegelijkertijd is het maandelijkse voorschotbedrag fors verhoogd — bij menig huishouden met meer dan € 50 per maand, tot ruim € 200 per maand. Deze verhoging is structureel en geldt vanaf nu, los van de eenmalige naheffing. Daarmee wordt het bovenmarktconforme tarief voor de toekomst verankerd, ongeacht of er nog administratieve fouten zullen ontstaan, ongeacht de werkelijke kostprijs van propaangas, en ongeacht het uitblijven van vervanging van het lekkende leidingnet.</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De bewoners zijn op grond van artikel 6.4 en artikel 7.11 van de Exploitatieovereenkomst contractueel verplicht uitsluitend gas af te nemen van SWB via het bestaande gasnet. Zij hebben geen mogelijkheid uit te wijken naar een andere leverancier of een eigen tank te plaatsen.</w:t>
      </w:r>
    </w:p>
    <w:p>
      <w:pPr>
        <w:spacing w:after="140" w:before="0" w:line="360"/>
      </w:pPr>
      <w:r>
        <w:rPr>
          <w:rFonts w:ascii="Mulish" w:cs="Mulish" w:eastAsia="Mulish" w:hAnsi="Mulish"/>
          <w:sz w:val="22"/>
          <w:szCs w:val="22"/>
        </w:rPr>
        <w:t xml:space="preserve">Het Gerechtshof 's-Hertogenbosch heeft in twee arresten (ECLI:NL:GHSHE:2013:3708 en ECLI:NL:GHSHE:2014:3639) reeds geoordeeld dat de kosten van grootschalige vervanging van het gasleidingnet voor rekening van de grondeigenaar komen en niet via de exploitatiekosten op de bewoners mogen worden afgewenteld.</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Op deze gronden — versterkt door de bepalingen van de Mededingingswet (art. 24 Mw) en de Wet Oneerlijke Handelspraktijken (art. 6:193a e.v. BW) — stellen de gasverbruikende bewoners zich op het standpunt dat de naheffing van € 1,95 per m³, de gehanteerde basisprijs van € 5,55 per m³, alsmede de structurele verhoging van het maandelijkse voorschotbedrag, onredelijk en juridisch onhoudbaar zijn. De bewoners verzoeken om herziening van de factuur, terugzetting van het maandbedrag naar een marktconform niveau, en betaling tegen een marktconform propaantarief voor uitsluitend hun eigen gemeten verbruik.</w:t>
      </w:r>
    </w:p>
    <w:p>
      <w:pPr>
        <w:pStyle w:val="Heading3"/>
        <w:spacing w:after="120" w:before="220"/>
      </w:pPr>
      <w:r>
        <w:rPr>
          <w:rFonts w:ascii="Poppins" w:cs="Poppins" w:eastAsia="Poppins" w:hAnsi="Poppins"/>
          <w:b/>
          <w:bCs/>
          <w:color w:val="333333"/>
          <w:sz w:val="24"/>
          <w:szCs w:val="24"/>
        </w:rPr>
        <w:t xml:space="preserve">Kernpunten in één oogopslag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Exploitant</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Stille Wille Brabant B.V. (SWB)</w:t>
            </w:r>
          </w:p>
        </w:tc>
      </w:tr>
      <w:tr>
        <w:tc>
          <w:tcPr>
            <w:tcW w:type="dxa" w:w="32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Grondeigenaar</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Landgoed De Stille Wille (LSW)</w:t>
            </w:r>
          </w:p>
        </w:tc>
      </w:tr>
      <w:tr>
        <w:tc>
          <w:tcPr>
            <w:tcW w:type="dxa" w:w="32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Basisprijs gas</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€ 5,55 per m³ incl. BTW</w:t>
            </w:r>
          </w:p>
        </w:tc>
      </w:tr>
      <w:tr>
        <w:tc>
          <w:tcPr>
            <w:tcW w:type="dxa" w:w="32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Naheffing per m³</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€ 1,95 (bovenop basisprijs)</w:t>
            </w:r>
          </w:p>
        </w:tc>
      </w:tr>
      <w:tr>
        <w:tc>
          <w:tcPr>
            <w:tcW w:type="dxa" w:w="32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Verhoging maandvoorschot</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Veelal +€ 50 of meer per maand; bij grote verbruikers tot ruim € 200/maand — structureel</w:t>
            </w:r>
          </w:p>
        </w:tc>
      </w:tr>
      <w:tr>
        <w:tc>
          <w:tcPr>
            <w:tcW w:type="dxa" w:w="32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Marktconforme prijs 2026</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€ 3,00 – € 3,50 per m³ gasvormig propaan</w:t>
            </w:r>
          </w:p>
        </w:tc>
      </w:tr>
      <w:tr>
        <w:tc>
          <w:tcPr>
            <w:tcW w:type="dxa" w:w="32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Afwijking SWB-tarief</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60–85 % boven marktniveau</w:t>
            </w:r>
          </w:p>
        </w:tc>
      </w:tr>
      <w:tr>
        <w:tc>
          <w:tcPr>
            <w:tcW w:type="dxa" w:w="32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Gepresenteerd tekort</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€ 36.797,48 over 2024–2025</w:t>
            </w:r>
          </w:p>
        </w:tc>
      </w:tr>
      <w:tr>
        <w:tc>
          <w:tcPr>
            <w:tcW w:type="dxa" w:w="32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Verdeelsleutel SWB</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22.784 m³ verbruik door huidige gasgebruikers</w:t>
            </w:r>
          </w:p>
        </w:tc>
      </w:tr>
      <w:tr>
        <w:tc>
          <w:tcPr>
            <w:tcW w:type="dxa" w:w="32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Gemeten lekverlies</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 35% (onderzoek Breedveld/Schoenmaker, 2020)</w:t>
            </w:r>
          </w:p>
        </w:tc>
      </w:tr>
      <w:tr>
        <w:tc>
          <w:tcPr>
            <w:tcW w:type="dxa" w:w="32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Bezwaartermijn</w:t>
            </w:r>
          </w:p>
        </w:tc>
        <w:tc>
          <w:tcPr>
            <w:tcW w:type="dxa" w:w="5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2 weken na factuurdatum (art. 15.1 Exploitatieovereenkomst)</w:t>
            </w:r>
          </w:p>
        </w:tc>
      </w:tr>
    </w:tbl>
    <w:p>
      <w:r>
        <w:br w:type="page"/>
      </w:r>
    </w:p>
    <w:p>
      <w:pPr>
        <w:pStyle w:val="Heading1"/>
        <w:pBdr>
          <w:bottom w:val="single" w:color="800000" w:sz="18" w:space="6"/>
        </w:pBdr>
        <w:spacing w:after="280" w:before="480"/>
      </w:pPr>
      <w:r>
        <w:rPr>
          <w:rFonts w:ascii="Poppins" w:cs="Poppins" w:eastAsia="Poppins" w:hAnsi="Poppins"/>
          <w:b/>
          <w:bCs/>
          <w:color w:val="800000"/>
          <w:sz w:val="40"/>
          <w:szCs w:val="40"/>
        </w:rPr>
        <w:t xml:space="preserve">B. Feitenrelaas</w:t>
      </w:r>
    </w:p>
    <w:p>
      <w:pPr>
        <w:pStyle w:val="Heading2"/>
        <w:spacing w:after="180" w:before="320"/>
      </w:pPr>
      <w:r>
        <w:rPr>
          <w:rFonts w:ascii="Poppins" w:cs="Poppins" w:eastAsia="Poppins" w:hAnsi="Poppins"/>
          <w:b/>
          <w:bCs/>
          <w:color w:val="800000"/>
          <w:sz w:val="28"/>
          <w:szCs w:val="28"/>
        </w:rPr>
        <w:t xml:space="preserve">Chronologie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Jaartal</w:t>
            </w:r>
          </w:p>
        </w:tc>
        <w:tc>
          <w:tcPr>
            <w:tcW w:type="dxa" w:w="7226"/>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Gebeurtenis</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 1975</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Aanleg van het propaan-distributienetwerk op Landgoed De Stille Wille. Eén centrale propaantank.</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2003</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Oprichting van Stille Wille Brabant B.V. (SWB) door de holding van de grondeigenaar; SWB neemt exploitatie en serviceverlening over.</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2013–2014</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Gerechtshof 's-Hertogenbosch (tussenarrest 13-08-2013, eindarrest 09-09-2014): vervangingskosten van het gasnet komen voor rekening van de grondeigenaar, niet van de bewoners.</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2020</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Onderzoek door bewoners J. Breedveld en P. Schoenmaker (VHSW/Bestwil). Eindrapport juni 2020: structureel lekverlies van circa 35%, overeenkomend met ruim 90.000 liter propaan per jaar.</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2020–2026</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Geleidelijke uitstroom: bewoners stappen individueel over op alternatieve verwarmingstechnieken (warmtepomp, infrarood, hybride).</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01-04-2025</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Overdracht van de SWB-administratie naar een nieuw administratiekantoor.</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2025</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Vertrek (verkoop woning) van diverse bewoners; eindafrekening op basis van toen geldende, achteraf onjuiste, administratie.</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2025–2026</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Ontdekking dat twee Benegas-facturen en een tankhuurnota niet in de afrekeningen waren meegenomen. Totaal tekort: € 36.797,48.</w:t>
            </w:r>
          </w:p>
        </w:tc>
      </w:tr>
      <w:tr>
        <w:tc>
          <w:tcPr>
            <w:tcW w:type="dxa" w:w="1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Mei 2026</w:t>
            </w:r>
          </w:p>
        </w:tc>
        <w:tc>
          <w:tcPr>
            <w:tcW w:type="dxa" w:w="72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SWB stuurt naheffingsfacturen met toeslag van € 1,95 per m³ uitsluitend aan de huidige, overgebleven gasgebruikers (geraamd op circa 200 huishoudens). Basisprijs handhaaft op € 5,55 per m³.</w:t>
            </w:r>
          </w:p>
        </w:tc>
      </w:tr>
    </w:tbl>
    <w:p>
      <w:pPr>
        <w:pStyle w:val="Heading2"/>
        <w:spacing w:after="180" w:before="320"/>
      </w:pPr>
      <w:r>
        <w:rPr>
          <w:rFonts w:ascii="Poppins" w:cs="Poppins" w:eastAsia="Poppins" w:hAnsi="Poppins"/>
          <w:b/>
          <w:bCs/>
          <w:color w:val="800000"/>
          <w:sz w:val="28"/>
          <w:szCs w:val="28"/>
        </w:rPr>
        <w:t xml:space="preserve">De gehanteerde rekenmethode van SWB</w:t>
      </w:r>
    </w:p>
    <w:p>
      <w:pPr>
        <w:spacing w:after="140" w:before="0" w:line="360"/>
      </w:pPr>
      <w:r>
        <w:rPr>
          <w:rFonts w:ascii="Mulish" w:cs="Mulish" w:eastAsia="Mulish" w:hAnsi="Mulish"/>
          <w:sz w:val="22"/>
          <w:szCs w:val="22"/>
        </w:rPr>
        <w:t xml:space="preserve">SWB heeft het tekort van € 36.797,48 omgeslagen over de 22.784 m³ gas die volgens de meterregistratie is verbruikt door de huidige, overgebleven gasgebruikers. Dit levert de toeslag van € 1,95 per m³ op, bovenop een basisprijs van € 5,55 per m³.</w:t>
      </w:r>
    </w:p>
    <w:p>
      <w:pPr>
        <w:spacing w:after="140" w:before="0" w:line="360"/>
      </w:pPr>
      <w:r>
        <w:rPr>
          <w:rFonts w:ascii="Mulish" w:cs="Mulish" w:eastAsia="Mulish" w:hAnsi="Mulish"/>
          <w:sz w:val="22"/>
          <w:szCs w:val="22"/>
        </w:rPr>
        <w:t xml:space="preserve">Deze methode heeft drie gevolgen die voor de bewoners onaanvaardbaar zijn:</w:t>
      </w:r>
    </w:p>
    <w:p>
      <w:pPr>
        <w:pStyle w:val="ListParagraph"/>
        <w:numPr>
          <w:ilvl w:val="0"/>
          <w:numId w:val="3"/>
        </w:numPr>
        <w:spacing w:after="120" w:line="360"/>
      </w:pPr>
      <w:r>
        <w:rPr>
          <w:rFonts w:ascii="Mulish" w:cs="Mulish" w:eastAsia="Mulish" w:hAnsi="Mulish"/>
          <w:sz w:val="22"/>
          <w:szCs w:val="22"/>
        </w:rPr>
        <w:t xml:space="preserve">De krimpende groep gasverbruikers draagt collectief de kosten van het gas dat weglekt uit de gebrekkige, gemeenschappelijke infrastructuur — gas dat zij niet hebben gebruikt en waarvan zij contractueel gedwongen zijn afnemer te zijn.</w:t>
      </w:r>
    </w:p>
    <w:p>
      <w:pPr>
        <w:pStyle w:val="ListParagraph"/>
        <w:numPr>
          <w:ilvl w:val="0"/>
          <w:numId w:val="3"/>
        </w:numPr>
        <w:spacing w:after="120" w:line="360"/>
      </w:pPr>
      <w:r>
        <w:rPr>
          <w:rFonts w:ascii="Mulish" w:cs="Mulish" w:eastAsia="Mulish" w:hAnsi="Mulish"/>
          <w:sz w:val="22"/>
          <w:szCs w:val="22"/>
        </w:rPr>
        <w:t xml:space="preserve">Bewoners die in 2024 of 2025 hun woning hebben verkocht, hebben hun eindafrekening ontvangen op basis van een te lage gasprijs, omdat de ontbrekende facturen pas later aan het licht kwamen. Het tekort dat zij hebben achtergelaten wordt nu opgevangen door de huidige bewoners.</w:t>
      </w:r>
    </w:p>
    <w:p>
      <w:pPr>
        <w:pStyle w:val="ListParagraph"/>
        <w:numPr>
          <w:ilvl w:val="0"/>
          <w:numId w:val="3"/>
        </w:numPr>
        <w:spacing w:after="120" w:line="360"/>
      </w:pPr>
      <w:r>
        <w:rPr>
          <w:rFonts w:ascii="Mulish" w:cs="Mulish" w:eastAsia="Mulish" w:hAnsi="Mulish"/>
          <w:sz w:val="22"/>
          <w:szCs w:val="22"/>
        </w:rPr>
        <w:t xml:space="preserve">De geleidelijke overstap van bewoners op warmtepompen en andere alternatieven verkleint de groep gasgebruikers ieder jaar. Dezelfde infrastructuurlasten en lekverliezen worden daardoor over een steeds kleinere groep uitgesmeerd, wat de bestaande onevenwichtigheid jaar op jaar verder vergroot.</w:t>
      </w:r>
    </w:p>
    <w:p>
      <w:pPr>
        <w:pStyle w:val="Heading2"/>
        <w:spacing w:after="180" w:before="320"/>
      </w:pPr>
      <w:r>
        <w:rPr>
          <w:rFonts w:ascii="Poppins" w:cs="Poppins" w:eastAsia="Poppins" w:hAnsi="Poppins"/>
          <w:b/>
          <w:bCs/>
          <w:color w:val="800000"/>
          <w:sz w:val="28"/>
          <w:szCs w:val="28"/>
        </w:rPr>
        <w:t xml:space="preserve">De structurele verhoging van het maandelijkse voorschotbedrag</w:t>
      </w:r>
    </w:p>
    <w:p>
      <w:pPr>
        <w:spacing w:after="140" w:before="0" w:line="360"/>
      </w:pPr>
      <w:r>
        <w:rPr>
          <w:rFonts w:ascii="Mulish" w:cs="Mulish" w:eastAsia="Mulish" w:hAnsi="Mulish"/>
          <w:sz w:val="22"/>
          <w:szCs w:val="22"/>
        </w:rPr>
        <w:t xml:space="preserve">Naast de eenmalige naheffing en de hoge basisprijs heeft SWB tegelijkertijd het maandelijkse voorschotbedrag fors verhoogd. Voor menig huishouden gaat het maandbedrag in één klap met meer dan € 50 omhoog, oplopend tot ruim € 200 per maand voor grotere verbruikers. Deze verhoging is structureel: zij geldt vanaf nu en voor de gehele afrekenperiode die volgt.</w:t>
      </w:r>
    </w:p>
    <w:p>
      <w:pPr>
        <w:spacing w:after="140" w:before="0" w:line="360"/>
      </w:pPr>
      <w:r>
        <w:rPr>
          <w:rFonts w:ascii="Mulish" w:cs="Mulish" w:eastAsia="Mulish" w:hAnsi="Mulish"/>
          <w:sz w:val="22"/>
          <w:szCs w:val="22"/>
        </w:rPr>
        <w:t xml:space="preserve">Daarmee voegt SWB aan de eenmalige naheffing een doorlopende component toe die de andere drie bewoners-bezwaren onverminderd handhaaft:</w:t>
      </w:r>
    </w:p>
    <w:p>
      <w:pPr>
        <w:pStyle w:val="ListParagraph"/>
        <w:numPr>
          <w:ilvl w:val="0"/>
          <w:numId w:val="2"/>
        </w:numPr>
        <w:spacing w:after="100" w:line="360"/>
      </w:pPr>
      <w:r>
        <w:rPr>
          <w:rFonts w:ascii="Mulish" w:cs="Mulish" w:eastAsia="Mulish" w:hAnsi="Mulish"/>
          <w:sz w:val="22"/>
          <w:szCs w:val="22"/>
        </w:rPr>
        <w:t xml:space="preserve">De verhoging staat los van de eenmalige naheffing. Zij wordt geheven óók als er geen nieuwe administratieve fouten meer worden gemaakt.</w:t>
      </w:r>
    </w:p>
    <w:p>
      <w:pPr>
        <w:pStyle w:val="ListParagraph"/>
        <w:numPr>
          <w:ilvl w:val="0"/>
          <w:numId w:val="2"/>
        </w:numPr>
        <w:spacing w:after="100" w:line="360"/>
      </w:pPr>
      <w:r>
        <w:rPr>
          <w:rFonts w:ascii="Mulish" w:cs="Mulish" w:eastAsia="Mulish" w:hAnsi="Mulish"/>
          <w:sz w:val="22"/>
          <w:szCs w:val="22"/>
        </w:rPr>
        <w:t xml:space="preserve">De verhoging staat los van de werkelijke marktprijs van propaangas. Zij verankert het tarief van € 5,55 per m³ — dat reeds 60 tot 85% boven marktniveau ligt — voor de toekomst.</w:t>
      </w:r>
    </w:p>
    <w:p>
      <w:pPr>
        <w:pStyle w:val="ListParagraph"/>
        <w:numPr>
          <w:ilvl w:val="0"/>
          <w:numId w:val="2"/>
        </w:numPr>
        <w:spacing w:after="100" w:line="360"/>
      </w:pPr>
      <w:r>
        <w:rPr>
          <w:rFonts w:ascii="Mulish" w:cs="Mulish" w:eastAsia="Mulish" w:hAnsi="Mulish"/>
          <w:sz w:val="22"/>
          <w:szCs w:val="22"/>
        </w:rPr>
        <w:t xml:space="preserve">De verhoging staat los van de lekverliezen op het leidingnet. Zonder vervanging van het net door de grondeigenaar blijven deze verliezen bestaan en blijven zij via deze verhoging op de bewoners drukken.</w:t>
      </w:r>
    </w:p>
    <w:p>
      <w:pPr>
        <w:spacing w:after="140" w:before="0" w:line="360"/>
      </w:pPr>
      <w:r>
        <w:rPr>
          <w:rFonts w:ascii="Mulish" w:cs="Mulish" w:eastAsia="Mulish" w:hAnsi="Mulish"/>
          <w:sz w:val="22"/>
          <w:szCs w:val="22"/>
        </w:rPr>
        <w:t xml:space="preserve">Wie het nieuwe maandbedrag stilzwijgend laat passeren, accepteert daarmee een tariefstructuur die juridisch op dezelfde gronden aanvechtbaar is als de naheffing zelf. Het verdient daarom aanbeveling de hoogte van het nieuwe voorschotbedrag eveneens te betwisten en zo nodig op te schorten of te storneren zolang de bezwaarprocedure loopt.</w:t>
      </w:r>
    </w:p>
    <w:p>
      <w:pPr>
        <w:pStyle w:val="Heading2"/>
        <w:spacing w:after="180" w:before="320"/>
      </w:pPr>
      <w:r>
        <w:rPr>
          <w:rFonts w:ascii="Poppins" w:cs="Poppins" w:eastAsia="Poppins" w:hAnsi="Poppins"/>
          <w:b/>
          <w:bCs/>
          <w:color w:val="800000"/>
          <w:sz w:val="28"/>
          <w:szCs w:val="28"/>
        </w:rPr>
        <w:t xml:space="preserve">Erkenning van de administratieve fout door SWB</w:t>
      </w:r>
    </w:p>
    <w:p>
      <w:pPr>
        <w:spacing w:after="140" w:before="0" w:line="360"/>
      </w:pPr>
      <w:r>
        <w:rPr>
          <w:rFonts w:ascii="Mulish" w:cs="Mulish" w:eastAsia="Mulish" w:hAnsi="Mulish"/>
          <w:sz w:val="22"/>
          <w:szCs w:val="22"/>
        </w:rPr>
        <w:t xml:space="preserve">In de communicatie rondom de naheffing erkent SWB zelf dat het tekort grotendeels het gevolg is van interne administratieve omissies:</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De reden van de correctie van de afrekening 2024-2025 is dat er door de overgang van de administratie per 1 april 2025, met terugwerkende kracht per 1 januari 2025, twee nota's van Benegas niet waren meegenomen in de totale kosten. Eveneens is er een nagekomen nota voor huur gastank 2025 van € 5.513,93, waarvan 5/12 meegenomen dient te worden in de afrekening 2024-2025.</w:t>
      </w:r>
    </w:p>
    <w:p>
      <w:pPr>
        <w:pStyle w:val="Heading2"/>
        <w:spacing w:after="180" w:before="320"/>
      </w:pPr>
      <w:r>
        <w:rPr>
          <w:rFonts w:ascii="Poppins" w:cs="Poppins" w:eastAsia="Poppins" w:hAnsi="Poppins"/>
          <w:b/>
          <w:bCs/>
          <w:color w:val="800000"/>
          <w:sz w:val="28"/>
          <w:szCs w:val="28"/>
        </w:rPr>
        <w:t xml:space="preserve">Analyse marktconformiteit van het tarief</w:t>
      </w:r>
    </w:p>
    <w:p>
      <w:pPr>
        <w:spacing w:after="140" w:before="0" w:line="360"/>
      </w:pPr>
      <w:r>
        <w:rPr>
          <w:rFonts w:ascii="Mulish" w:cs="Mulish" w:eastAsia="Mulish" w:hAnsi="Mulish"/>
          <w:sz w:val="22"/>
          <w:szCs w:val="22"/>
        </w:rPr>
        <w:t xml:space="preserve">Op basis van openbare tariefkaarten van mei 2026 bedraagt de marktconforme prijs voor propaangas in Nederland: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Leverancier</w:t>
            </w:r>
          </w:p>
        </w:tc>
        <w:tc>
          <w:tcPr>
            <w:tcW w:type="dxa" w:w="4526"/>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Prijs per liter vloeibaar propaan (incl. BTW)</w:t>
            </w:r>
          </w:p>
        </w:tc>
      </w:tr>
      <w:tr>
        <w:tc>
          <w:tcPr>
            <w:tcW w:type="dxa" w:w="45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Tankgas (dagprijs april 2026)</w:t>
            </w:r>
          </w:p>
        </w:tc>
        <w:tc>
          <w:tcPr>
            <w:tcW w:type="dxa" w:w="4526"/>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€ 0,75 – 0,85</w:t>
            </w:r>
          </w:p>
        </w:tc>
      </w:tr>
      <w:tr>
        <w:tc>
          <w:tcPr>
            <w:tcW w:type="dxa" w:w="45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Antargaz (tariefkaart 04-2026)</w:t>
            </w:r>
          </w:p>
        </w:tc>
        <w:tc>
          <w:tcPr>
            <w:tcW w:type="dxa" w:w="4526"/>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€ 0,80 – 0,90</w:t>
            </w:r>
          </w:p>
        </w:tc>
      </w:tr>
      <w:tr>
        <w:tc>
          <w:tcPr>
            <w:tcW w:type="dxa" w:w="45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Benegas</w:t>
            </w:r>
          </w:p>
        </w:tc>
        <w:tc>
          <w:tcPr>
            <w:tcW w:type="dxa" w:w="4526"/>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€ 0,75 – 0,85</w:t>
            </w:r>
          </w:p>
        </w:tc>
      </w:tr>
    </w:tbl>
    <w:p>
      <w:pPr>
        <w:spacing w:after="140" w:before="0" w:line="360"/>
      </w:pPr>
      <w:r>
        <w:rPr>
          <w:rFonts w:ascii="Mulish" w:cs="Mulish" w:eastAsia="Mulish" w:hAnsi="Mulish"/>
          <w:sz w:val="22"/>
          <w:szCs w:val="22"/>
        </w:rPr>
        <w:t xml:space="preserve"> </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Marktconforme bandbreedte: € 0,80 – 0,95 per liter vloeibaar propaan, incl. BTW. Een huishoudgasmeter meet doorgaans m³ gasvormig propaan: 1 m³ gasvormig ≈ 3,7 liter vloeibaar. Omgerekend levert dit een marktconforme prijs van € 3,00 tot € 3,50 per m³.</w:t>
      </w:r>
    </w:p>
    <w:p>
      <w:pPr>
        <w:spacing w:after="140" w:before="0" w:line="360"/>
      </w:pPr>
      <w:r>
        <w:rPr>
          <w:rFonts w:ascii="Mulish" w:cs="Mulish" w:eastAsia="Mulish" w:hAnsi="Mulish"/>
          <w:sz w:val="22"/>
          <w:szCs w:val="22"/>
        </w:rPr>
        <w:t xml:space="preserve">Het door SWB gehanteerde tarief van € 5,55 per m³ ligt daarmee 60 tot 85 procent boven marktniveau. Indien een lekverlies van 35% volledig aan de gebruiker zou worden doorbelast — wat juridisch betwistbaar is — zou de prijs uitkomen op circa € 4,85 per m³. Ook na deze rekenwijze blijft er een onverklaard verschil van circa € 0,70 per m³ ten opzichte van het SWB-tarief.</w:t>
      </w:r>
    </w:p>
    <w:p>
      <w:r>
        <w:br w:type="page"/>
      </w:r>
    </w:p>
    <w:p>
      <w:pPr>
        <w:pStyle w:val="Heading1"/>
        <w:pBdr>
          <w:bottom w:val="single" w:color="800000" w:sz="18" w:space="6"/>
        </w:pBdr>
        <w:spacing w:after="280" w:before="480"/>
      </w:pPr>
      <w:r>
        <w:rPr>
          <w:rFonts w:ascii="Poppins" w:cs="Poppins" w:eastAsia="Poppins" w:hAnsi="Poppins"/>
          <w:b/>
          <w:bCs/>
          <w:color w:val="800000"/>
          <w:sz w:val="40"/>
          <w:szCs w:val="40"/>
        </w:rPr>
        <w:t xml:space="preserve">C. Juridisch kader</w:t>
      </w:r>
    </w:p>
    <w:p>
      <w:pPr>
        <w:pStyle w:val="Heading2"/>
        <w:spacing w:after="180" w:before="320"/>
      </w:pPr>
      <w:r>
        <w:rPr>
          <w:rFonts w:ascii="Poppins" w:cs="Poppins" w:eastAsia="Poppins" w:hAnsi="Poppins"/>
          <w:b/>
          <w:bCs/>
          <w:color w:val="800000"/>
          <w:sz w:val="28"/>
          <w:szCs w:val="28"/>
        </w:rPr>
        <w:t xml:space="preserve">C.1  Contractuele verplichting tot afname (monopoliepositie)</w:t>
      </w:r>
    </w:p>
    <w:p>
      <w:pPr>
        <w:spacing w:after="140" w:before="0" w:line="360"/>
      </w:pPr>
      <w:r>
        <w:rPr>
          <w:rFonts w:ascii="Mulish" w:cs="Mulish" w:eastAsia="Mulish" w:hAnsi="Mulish"/>
          <w:sz w:val="22"/>
          <w:szCs w:val="22"/>
        </w:rPr>
        <w:t xml:space="preserve">De bewoners zijn op grond van de Exploitatieovereenkomst gebonden aan exclusieve afname van gas via SWB. Eigen voorziening is uitdrukkelijk verboden.</w:t>
      </w:r>
    </w:p>
    <w:p>
      <w:pPr>
        <w:pStyle w:val="Heading3"/>
        <w:spacing w:after="120" w:before="220"/>
      </w:pPr>
      <w:r>
        <w:rPr>
          <w:rFonts w:ascii="Poppins" w:cs="Poppins" w:eastAsia="Poppins" w:hAnsi="Poppins"/>
          <w:b/>
          <w:bCs/>
          <w:color w:val="333333"/>
          <w:sz w:val="24"/>
          <w:szCs w:val="24"/>
        </w:rPr>
        <w:t xml:space="preserve">Artikel 6.4 Exploitatieovereenkomst (versie 2025)</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Uit veiligheidsoverwegingen mag de Eigenaar respectievelijk Erfpachter water en gas uitsluitend afnemen van de Exploitant via het aanwezige veilige en goedgekeurde water- en gasleidingnet. Het is in het belang van de algehele (brand)veiligheid op Landgoed De Stille Wille uitdrukkelijk niet toegestaan dat de Eigenaar respectievelijk Erfpachter zelf een gastank op het door hem in gebruik zijnde perceel plaatst dan wel laat plaatsen.</w:t>
      </w:r>
    </w:p>
    <w:p>
      <w:pPr>
        <w:pStyle w:val="Heading3"/>
        <w:spacing w:after="120" w:before="220"/>
      </w:pPr>
      <w:r>
        <w:rPr>
          <w:rFonts w:ascii="Poppins" w:cs="Poppins" w:eastAsia="Poppins" w:hAnsi="Poppins"/>
          <w:b/>
          <w:bCs/>
          <w:color w:val="333333"/>
          <w:sz w:val="24"/>
          <w:szCs w:val="24"/>
        </w:rPr>
        <w:t xml:space="preserve">Artikel 7.11 Exploitatieovereenkomst (versie 2025)</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De Eigenaar respectievelijk Erfpachter verbindt zich om (uitsluitend) gebruik te maken van de in deze Exploitatieovereenkomst bedoelde leveringen en diensten en om deze niet van derden te betrekken.</w:t>
      </w:r>
    </w:p>
    <w:p>
      <w:pPr>
        <w:pStyle w:val="Heading3"/>
        <w:spacing w:after="120" w:before="220"/>
      </w:pPr>
      <w:r>
        <w:rPr>
          <w:rFonts w:ascii="Poppins" w:cs="Poppins" w:eastAsia="Poppins" w:hAnsi="Poppins"/>
          <w:b/>
          <w:bCs/>
          <w:color w:val="333333"/>
          <w:sz w:val="24"/>
          <w:szCs w:val="24"/>
        </w:rPr>
        <w:t xml:space="preserve">Artikel 15b Algemene Bepalingen Erfpacht (referentiekader Hof)</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Voor verwarmings- en kookdoeleinden mag de erfpachter alleen gas gebruiken, welk gas hij uitsluitend af mag nemen van de Stille Wille, via het gasnet als bedoeld in artikel 8.</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Deze drie bepalingen leggen vast dat de bewoner geen enkel alternatief heeft: niet voor de leverancier, niet voor de prijsstelling, niet voor de infrastructuur. Het beroep dat SWB doet op veiligheid om eigen voorzieningen te verbieden, schept tegelijk een zorgplicht aan haar zijde voor de kwaliteit van het door haar gemonopoliseerde net.</w:t>
      </w:r>
    </w:p>
    <w:p>
      <w:pPr>
        <w:pStyle w:val="Heading2"/>
        <w:spacing w:after="180" w:before="320"/>
      </w:pPr>
      <w:r>
        <w:rPr>
          <w:rFonts w:ascii="Poppins" w:cs="Poppins" w:eastAsia="Poppins" w:hAnsi="Poppins"/>
          <w:b/>
          <w:bCs/>
          <w:color w:val="800000"/>
          <w:sz w:val="28"/>
          <w:szCs w:val="28"/>
        </w:rPr>
        <w:t xml:space="preserve">C.2  Vervangingsplicht grondeigenaar (jurisprudentie)</w:t>
      </w:r>
    </w:p>
    <w:p>
      <w:pPr>
        <w:spacing w:after="140" w:before="0" w:line="360"/>
      </w:pPr>
      <w:r>
        <w:rPr>
          <w:rFonts w:ascii="Mulish" w:cs="Mulish" w:eastAsia="Mulish" w:hAnsi="Mulish"/>
          <w:sz w:val="22"/>
          <w:szCs w:val="22"/>
        </w:rPr>
        <w:t xml:space="preserve">Het Gerechtshof 's-Hertogenbosch heeft in een procedure die specifiek deze grondeigenaar en exploitant betrof, geoordeeld dat de kosten van vervanging van het gasleidingnet voor rekening komen van de grondeigenaar.</w:t>
      </w:r>
    </w:p>
    <w:p>
      <w:pPr>
        <w:pStyle w:val="Heading3"/>
        <w:spacing w:after="120" w:before="220"/>
      </w:pPr>
      <w:r>
        <w:rPr>
          <w:rFonts w:ascii="Poppins" w:cs="Poppins" w:eastAsia="Poppins" w:hAnsi="Poppins"/>
          <w:b/>
          <w:bCs/>
          <w:color w:val="333333"/>
          <w:sz w:val="24"/>
          <w:szCs w:val="24"/>
        </w:rPr>
        <w:t xml:space="preserve">ECLI:NL:GHSHE:2013:3708 — Tussenarrest 13 augustus 2013</w:t>
      </w:r>
    </w:p>
    <w:p>
      <w:pPr>
        <w:spacing w:after="140" w:before="0" w:line="360"/>
      </w:pPr>
      <w:r>
        <w:rPr>
          <w:rFonts w:ascii="Mulish" w:cs="Mulish" w:eastAsia="Mulish" w:hAnsi="Mulish"/>
          <w:b/>
          <w:bCs/>
          <w:color w:val="800000"/>
          <w:sz w:val="22"/>
          <w:szCs w:val="22"/>
        </w:rPr>
        <w:t xml:space="preserve">Rechtsoverweging 5.13.9:</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Het lag bij deze stand van zaken, indien DJB meende dat ook de kosten van vervanging voor rekening van SWM (dus niet voor rekening van haar, DJB), en daarmee in voorkomend geval voor rekening van de bewoners behoorden te komen, op de weg van DJB om zulks uitdrukkelijk te doen opnemen. Dat is niet gebeurd. (…) Daarmee moet ervan worden uitgegaan dat de verdeling van kosten in de AB ertoe leidt dat die kosten van vervanging voor rekening van DJB komen.</w:t>
      </w:r>
    </w:p>
    <w:p>
      <w:pPr>
        <w:spacing w:after="140" w:before="0" w:line="360"/>
      </w:pPr>
      <w:r>
        <w:rPr>
          <w:rFonts w:ascii="Mulish" w:cs="Mulish" w:eastAsia="Mulish" w:hAnsi="Mulish"/>
          <w:b/>
          <w:bCs/>
          <w:color w:val="800000"/>
          <w:sz w:val="22"/>
          <w:szCs w:val="22"/>
        </w:rPr>
        <w:t xml:space="preserve">Rechtsoverweging 5.13.10:</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Het hof komt dus tot de slotsom, dat in de oude situatie (…) de kosten van vervanging van het gasnet en het waterleidingnet niet voor rekening van SWM, doch voor rekening van DJB zouden blijven. (…) dat betekent dit dat de kosten van vervanging van het gasnet niet door middel van een bepaling in de nieuw te sluiten overeenkomst voor rekening van de erfpachters kunnen worden gebracht.</w:t>
      </w:r>
    </w:p>
    <w:p>
      <w:pPr>
        <w:pStyle w:val="Heading3"/>
        <w:spacing w:after="120" w:before="220"/>
      </w:pPr>
      <w:r>
        <w:rPr>
          <w:rFonts w:ascii="Poppins" w:cs="Poppins" w:eastAsia="Poppins" w:hAnsi="Poppins"/>
          <w:b/>
          <w:bCs/>
          <w:color w:val="333333"/>
          <w:sz w:val="24"/>
          <w:szCs w:val="24"/>
        </w:rPr>
        <w:t xml:space="preserve">ECLI:NL:GHSHE:2014:3639 — Eindarrest 9 september 2014</w:t>
      </w:r>
    </w:p>
    <w:p>
      <w:pPr>
        <w:spacing w:after="140" w:before="0" w:line="360"/>
      </w:pPr>
      <w:r>
        <w:rPr>
          <w:rFonts w:ascii="Mulish" w:cs="Mulish" w:eastAsia="Mulish" w:hAnsi="Mulish"/>
          <w:sz w:val="22"/>
          <w:szCs w:val="22"/>
        </w:rPr>
        <w:t xml:space="preserve">Het eindarrest bevestigt de in 2013 ingezette lijn: de vervangingskosten van de basisinfrastructuur kunnen niet via een nieuw te sluiten exploitatieovereenkomst alsnog op de bewoners worden afgewenteld.</w:t>
      </w:r>
    </w:p>
    <w:p>
      <w:pPr>
        <w:pStyle w:val="Heading3"/>
        <w:spacing w:after="120" w:before="220"/>
      </w:pPr>
      <w:r>
        <w:rPr>
          <w:rFonts w:ascii="Poppins" w:cs="Poppins" w:eastAsia="Poppins" w:hAnsi="Poppins"/>
          <w:b/>
          <w:bCs/>
          <w:color w:val="333333"/>
          <w:sz w:val="24"/>
          <w:szCs w:val="24"/>
        </w:rPr>
        <w:t xml:space="preserve">Latere jurisprudentie (volledigheidshalve)</w:t>
      </w:r>
    </w:p>
    <w:p>
      <w:pPr>
        <w:spacing w:after="140" w:before="0" w:line="360"/>
      </w:pPr>
      <w:r>
        <w:rPr>
          <w:rFonts w:ascii="Mulish" w:cs="Mulish" w:eastAsia="Mulish" w:hAnsi="Mulish"/>
          <w:sz w:val="22"/>
          <w:szCs w:val="22"/>
        </w:rPr>
        <w:t xml:space="preserve">In ECLI:NL:GHSHE:2020:332 en ECLI:NL:GHSHE:2023:733 heeft het Hof zich nadien opnieuw uitgesproken in geschillen tussen Stille Wille en (oud-)erfpachters, waarbij telkens het uitgangspunt van redelijkheid en billijkheid en de beperkte contractsvrijheid van de grondeigenaar werd bevestigd. Geen van deze latere uitspraken heeft het kernoordeel van 2013/2014 over de vervangingskosten herzien.</w:t>
      </w:r>
    </w:p>
    <w:p>
      <w:pPr>
        <w:pStyle w:val="Heading2"/>
        <w:spacing w:after="180" w:before="320"/>
      </w:pPr>
      <w:r>
        <w:rPr>
          <w:rFonts w:ascii="Poppins" w:cs="Poppins" w:eastAsia="Poppins" w:hAnsi="Poppins"/>
          <w:b/>
          <w:bCs/>
          <w:color w:val="800000"/>
          <w:sz w:val="28"/>
          <w:szCs w:val="28"/>
        </w:rPr>
        <w:t xml:space="preserve">C.3  Onaanvaardbare kostentoerekening (art. 6:248 lid 2 BW)</w:t>
      </w:r>
    </w:p>
    <w:p>
      <w:pPr>
        <w:spacing w:after="140" w:before="0" w:line="360"/>
      </w:pPr>
      <w:r>
        <w:rPr>
          <w:rFonts w:ascii="Mulish" w:cs="Mulish" w:eastAsia="Mulish" w:hAnsi="Mulish"/>
          <w:sz w:val="22"/>
          <w:szCs w:val="22"/>
        </w:rPr>
        <w:t xml:space="preserve">Artikel 6:248 BW bepaalt:</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Lid 1: Een overeenkomst heeft niet alleen de door partijen overeengekomen rechtsgevolgen, maar ook die welke, naar de aard van de overeenkomst, uit de wet, de gewoonte of de eisen van redelijkheid en billijkheid voortvloeien.
Lid 2: Een tussen partijen als gevolg van de overeenkomst geldende regel is niet van toepassing, voor zover dit in de gegeven omstandigheden naar maatstaven van redelijkheid en billijkheid onaanvaardbaar zou zijn.</w:t>
      </w:r>
    </w:p>
    <w:p>
      <w:pPr>
        <w:spacing w:after="140" w:before="0" w:line="360"/>
      </w:pPr>
      <w:r>
        <w:rPr>
          <w:rFonts w:ascii="Mulish" w:cs="Mulish" w:eastAsia="Mulish" w:hAnsi="Mulish"/>
          <w:sz w:val="22"/>
          <w:szCs w:val="22"/>
        </w:rPr>
        <w:t xml:space="preserve">Lid 2 — de zogeheten derogerende of beperkende werking — biedt de rechter de bevoegdheid een contractsbepaling buiten toepassing te laten, ook als deze schriftelijk is overeengekomen. De Hoge Raad past dit terughoudend toe (marginale toetsing): de toepassing moet niet enkel "onredelijk" zijn, maar daadwerkelijk "onaanvaardbaar". Toch wordt dit instrument in de jurisprudentie wel degelijk gehonoreerd wanneer sprake is van een sterk asymmetrische verhouding, kennelijke onevenwichtigheid en onzorgvuldig handelen van de sterkere partij.</w:t>
      </w:r>
    </w:p>
    <w:p>
      <w:pPr>
        <w:spacing w:after="140" w:before="0" w:line="360"/>
      </w:pPr>
      <w:r>
        <w:rPr>
          <w:rFonts w:ascii="Mulish" w:cs="Mulish" w:eastAsia="Mulish" w:hAnsi="Mulish"/>
          <w:sz w:val="22"/>
          <w:szCs w:val="22"/>
        </w:rPr>
        <w:t xml:space="preserve">In de onderhavige zaak doen zich de volgende omstandigheden voor:</w:t>
      </w:r>
    </w:p>
    <w:p>
      <w:pPr>
        <w:pStyle w:val="ListParagraph"/>
        <w:numPr>
          <w:ilvl w:val="0"/>
          <w:numId w:val="2"/>
        </w:numPr>
        <w:spacing w:after="100" w:line="360"/>
      </w:pPr>
      <w:r>
        <w:rPr>
          <w:rFonts w:ascii="Mulish" w:cs="Mulish" w:eastAsia="Mulish" w:hAnsi="Mulish"/>
          <w:sz w:val="22"/>
          <w:szCs w:val="22"/>
        </w:rPr>
        <w:t xml:space="preserve">Het tekort is veroorzaakt door (a) interne administratieve fouten van SWB en (b) lekverliezen uit een net waarvoor de grondeigenaar verantwoordelijk is.</w:t>
      </w:r>
    </w:p>
    <w:p>
      <w:pPr>
        <w:pStyle w:val="ListParagraph"/>
        <w:numPr>
          <w:ilvl w:val="0"/>
          <w:numId w:val="2"/>
        </w:numPr>
        <w:spacing w:after="100" w:line="360"/>
      </w:pPr>
      <w:r>
        <w:rPr>
          <w:rFonts w:ascii="Mulish" w:cs="Mulish" w:eastAsia="Mulish" w:hAnsi="Mulish"/>
          <w:sz w:val="22"/>
          <w:szCs w:val="22"/>
        </w:rPr>
        <w:t xml:space="preserve">Het tekort wordt eenzijdig omgeslagen over een willekeurig gekozen, krimpende groep — namelijk uitsluitend de huidige gasverbruikers.</w:t>
      </w:r>
    </w:p>
    <w:p>
      <w:pPr>
        <w:pStyle w:val="ListParagraph"/>
        <w:numPr>
          <w:ilvl w:val="0"/>
          <w:numId w:val="2"/>
        </w:numPr>
        <w:spacing w:after="100" w:line="360"/>
      </w:pPr>
      <w:r>
        <w:rPr>
          <w:rFonts w:ascii="Mulish" w:cs="Mulish" w:eastAsia="Mulish" w:hAnsi="Mulish"/>
          <w:b/>
          <w:bCs/>
          <w:color w:val="660000"/>
          <w:sz w:val="22"/>
          <w:szCs w:val="22"/>
        </w:rPr>
        <w:t xml:space="preserve">Bewoners die in de periode 2024 tot en met april 2025 hun woning hebben verkocht en het landgoed hebben verlaten, hebben hun eindafrekening ontvangen op basis van de toen geldende, achteraf onjuiste, prijzen. Zij worden door SWB ontzien. Het gas dat door deze inmiddels vertrokken bewoners is verbruikt wordt nu — via de m³-toeslag — alsnog afgerekend bij de overgebleven groep. Daarmee betalen de huidige gasgebruikers letterlijk voor het verbruik van derden die niet langer op het landgoed wonen. Een dergelijke verdeelsleutel is willekeurig en mist iedere objectieve rechtvaardiging.</w:t>
      </w:r>
    </w:p>
    <w:p>
      <w:pPr>
        <w:pStyle w:val="ListParagraph"/>
        <w:numPr>
          <w:ilvl w:val="0"/>
          <w:numId w:val="2"/>
        </w:numPr>
        <w:spacing w:after="100" w:line="360"/>
      </w:pPr>
      <w:r>
        <w:rPr>
          <w:rFonts w:ascii="Mulish" w:cs="Mulish" w:eastAsia="Mulish" w:hAnsi="Mulish"/>
          <w:b/>
          <w:bCs/>
          <w:color w:val="660000"/>
          <w:sz w:val="22"/>
          <w:szCs w:val="22"/>
        </w:rPr>
        <w:t xml:space="preserve">SWB heeft tegelijk met de naheffing het maandelijkse voorschotbedrag fors verhoogd. Daarmee wordt het bovenmarktconforme tarief structureel verankerd voor de toekomst — los van de eenmalige naheffing, los van enige toekomstige administratieve fout, los van de werkelijke kostprijs van propaangas, en los van de lekverliezen die alleen door vervanging van het leidingnet door de grondeigenaar kunnen verdwijnen. De combinatie van een eenmalige correctie én een structurele verhoging plaatst de bewoner in een dubbele klem: hij betaalt nu voor het verleden én accepteert voor de toekomst een tariefniveau dat juridisch op dezelfde gronden aanvechtbaar is.</w:t>
      </w:r>
    </w:p>
    <w:p>
      <w:pPr>
        <w:pStyle w:val="ListParagraph"/>
        <w:numPr>
          <w:ilvl w:val="0"/>
          <w:numId w:val="2"/>
        </w:numPr>
        <w:spacing w:after="100" w:line="360"/>
      </w:pPr>
      <w:r>
        <w:rPr>
          <w:rFonts w:ascii="Mulish" w:cs="Mulish" w:eastAsia="Mulish" w:hAnsi="Mulish"/>
          <w:sz w:val="22"/>
          <w:szCs w:val="22"/>
        </w:rPr>
        <w:t xml:space="preserve">De bewoners hebben — door artikel 6.4 — geen enkele mogelijkheid om uit te wijken naar een goedkopere of betrouwbaardere leverancier.</w:t>
      </w:r>
    </w:p>
    <w:p>
      <w:pPr>
        <w:pStyle w:val="ListParagraph"/>
        <w:numPr>
          <w:ilvl w:val="0"/>
          <w:numId w:val="2"/>
        </w:numPr>
        <w:spacing w:after="100" w:line="360"/>
      </w:pPr>
      <w:r>
        <w:rPr>
          <w:rFonts w:ascii="Mulish" w:cs="Mulish" w:eastAsia="Mulish" w:hAnsi="Mulish"/>
          <w:sz w:val="22"/>
          <w:szCs w:val="22"/>
        </w:rPr>
        <w:t xml:space="preserve">Door de jaarlijkse uitstroom richting warmtepomp en andere alternatieven wordt de overgebleven groep ieder jaar kleiner; de huidige rekenmethode bestraft daarmee feitelijk de bewoners die het langst trouw zijn gebleven aan de gemonopoliseerde voorziening.</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De combinatie van gedwongen winkelnering, niet-marktconforme prijsstelling en eenzijdige doorberekening van administratief en infrastructureel falen rechtvaardigt naar het oordeel van de bewoners dat de kostenverdeling op grond van art. 6:248 lid 2 BW buiten toepassing wordt gelaten.</w:t>
      </w:r>
    </w:p>
    <w:p>
      <w:pPr>
        <w:pStyle w:val="Heading2"/>
        <w:spacing w:after="180" w:before="320"/>
      </w:pPr>
      <w:r>
        <w:rPr>
          <w:rFonts w:ascii="Poppins" w:cs="Poppins" w:eastAsia="Poppins" w:hAnsi="Poppins"/>
          <w:b/>
          <w:bCs/>
          <w:color w:val="800000"/>
          <w:sz w:val="28"/>
          <w:szCs w:val="28"/>
        </w:rPr>
        <w:t xml:space="preserve">C.4  Misbruik economische machtspositie (art. 24 Mededingingswet)</w:t>
      </w:r>
    </w:p>
    <w:p>
      <w:pPr>
        <w:pStyle w:val="Heading3"/>
        <w:spacing w:after="120" w:before="220"/>
      </w:pPr>
      <w:r>
        <w:rPr>
          <w:rFonts w:ascii="Poppins" w:cs="Poppins" w:eastAsia="Poppins" w:hAnsi="Poppins"/>
          <w:b/>
          <w:bCs/>
          <w:color w:val="333333"/>
          <w:sz w:val="24"/>
          <w:szCs w:val="24"/>
        </w:rPr>
        <w:t xml:space="preserve">Wettelijk kader</w:t>
      </w:r>
    </w:p>
    <w:p>
      <w:pPr>
        <w:spacing w:after="140" w:before="0" w:line="360"/>
      </w:pPr>
      <w:r>
        <w:rPr>
          <w:rFonts w:ascii="Mulish" w:cs="Mulish" w:eastAsia="Mulish" w:hAnsi="Mulish"/>
          <w:sz w:val="22"/>
          <w:szCs w:val="22"/>
        </w:rPr>
        <w:t xml:space="preserve">Artikel 24 lid 1 van de Mededingingswet (Mw) verbiedt het misbruik maken van een economische machtspositie. Het Europese equivalent is artikel 102 VWEU. Van een economische machtspositie is sprake wanneer een onderneming zich in belangrijke mate onafhankelijk kan gedragen van concurrenten, leveranciers of afnemers. Vormen van misbruik die de wet en de toezichthouder uitdrukkelijk noemen, zijn:</w:t>
      </w:r>
    </w:p>
    <w:p>
      <w:pPr>
        <w:pStyle w:val="ListParagraph"/>
        <w:numPr>
          <w:ilvl w:val="0"/>
          <w:numId w:val="2"/>
        </w:numPr>
        <w:spacing w:after="100" w:line="360"/>
      </w:pPr>
      <w:r>
        <w:rPr>
          <w:rFonts w:ascii="Mulish" w:cs="Mulish" w:eastAsia="Mulish" w:hAnsi="Mulish"/>
          <w:sz w:val="22"/>
          <w:szCs w:val="22"/>
        </w:rPr>
        <w:t xml:space="preserve">het hanteren van buitensporig hoge en oneerlijke prijzen, niet te verklaren door reële kostenontwikkeling;</w:t>
      </w:r>
    </w:p>
    <w:p>
      <w:pPr>
        <w:pStyle w:val="ListParagraph"/>
        <w:numPr>
          <w:ilvl w:val="0"/>
          <w:numId w:val="2"/>
        </w:numPr>
        <w:spacing w:after="100" w:line="360"/>
      </w:pPr>
      <w:r>
        <w:rPr>
          <w:rFonts w:ascii="Mulish" w:cs="Mulish" w:eastAsia="Mulish" w:hAnsi="Mulish"/>
          <w:sz w:val="22"/>
          <w:szCs w:val="22"/>
        </w:rPr>
        <w:t xml:space="preserve">het opleggen van onbillijke contractuele verplichtingen;</w:t>
      </w:r>
    </w:p>
    <w:p>
      <w:pPr>
        <w:pStyle w:val="ListParagraph"/>
        <w:numPr>
          <w:ilvl w:val="0"/>
          <w:numId w:val="2"/>
        </w:numPr>
        <w:spacing w:after="100" w:line="360"/>
      </w:pPr>
      <w:r>
        <w:rPr>
          <w:rFonts w:ascii="Mulish" w:cs="Mulish" w:eastAsia="Mulish" w:hAnsi="Mulish"/>
          <w:sz w:val="22"/>
          <w:szCs w:val="22"/>
        </w:rPr>
        <w:t xml:space="preserve">het uitbuiten van afnemers die geen uitwijkmogelijkheid hebben.</w:t>
      </w:r>
    </w:p>
    <w:p>
      <w:pPr>
        <w:pStyle w:val="Heading3"/>
        <w:spacing w:after="120" w:before="220"/>
      </w:pPr>
      <w:r>
        <w:rPr>
          <w:rFonts w:ascii="Poppins" w:cs="Poppins" w:eastAsia="Poppins" w:hAnsi="Poppins"/>
          <w:b/>
          <w:bCs/>
          <w:color w:val="333333"/>
          <w:sz w:val="24"/>
          <w:szCs w:val="24"/>
        </w:rPr>
        <w:t xml:space="preserve">Toepasselijkheid op deze zaak</w:t>
      </w:r>
    </w:p>
    <w:p>
      <w:pPr>
        <w:spacing w:after="140" w:before="0" w:line="360"/>
      </w:pPr>
      <w:r>
        <w:rPr>
          <w:rFonts w:ascii="Mulish" w:cs="Mulish" w:eastAsia="Mulish" w:hAnsi="Mulish"/>
          <w:sz w:val="22"/>
          <w:szCs w:val="22"/>
        </w:rPr>
        <w:t xml:space="preserve">Op de relevante markt — propaanlevering aan de bewoners van Landgoed De Stille Wille — beschikt SWB over 100% marktaandeel. Deze monopoliepositie is niet ontstaan door marktwerking maar contractueel afgedwongen via artikel 6.4 van de Exploitatieovereenkomst, dat bewoners verbiedt zelf gas te betrekken of een eigen voorziening te plaatsen. De combinatie van:</w:t>
      </w:r>
    </w:p>
    <w:p>
      <w:pPr>
        <w:pStyle w:val="ListParagraph"/>
        <w:numPr>
          <w:ilvl w:val="0"/>
          <w:numId w:val="2"/>
        </w:numPr>
        <w:spacing w:after="100" w:line="360"/>
      </w:pPr>
      <w:r>
        <w:rPr>
          <w:rFonts w:ascii="Mulish" w:cs="Mulish" w:eastAsia="Mulish" w:hAnsi="Mulish"/>
          <w:sz w:val="22"/>
          <w:szCs w:val="22"/>
        </w:rPr>
        <w:t xml:space="preserve">contractueel afgedwongen exclusiviteit van afname (gedwongen winkelnering);</w:t>
      </w:r>
    </w:p>
    <w:p>
      <w:pPr>
        <w:pStyle w:val="ListParagraph"/>
        <w:numPr>
          <w:ilvl w:val="0"/>
          <w:numId w:val="2"/>
        </w:numPr>
        <w:spacing w:after="100" w:line="360"/>
      </w:pPr>
      <w:r>
        <w:rPr>
          <w:rFonts w:ascii="Mulish" w:cs="Mulish" w:eastAsia="Mulish" w:hAnsi="Mulish"/>
          <w:sz w:val="22"/>
          <w:szCs w:val="22"/>
        </w:rPr>
        <w:t xml:space="preserve">een tarief dat aantoonbaar 60–85% boven marktniveau ligt, ook na verrekening van lekverliezen;</w:t>
      </w:r>
    </w:p>
    <w:p>
      <w:pPr>
        <w:pStyle w:val="ListParagraph"/>
        <w:numPr>
          <w:ilvl w:val="0"/>
          <w:numId w:val="2"/>
        </w:numPr>
        <w:spacing w:after="100" w:line="360"/>
      </w:pPr>
      <w:r>
        <w:rPr>
          <w:rFonts w:ascii="Mulish" w:cs="Mulish" w:eastAsia="Mulish" w:hAnsi="Mulish"/>
          <w:sz w:val="22"/>
          <w:szCs w:val="22"/>
        </w:rPr>
        <w:t xml:space="preserve">het ontbreken van een transparante onderbouwing van dit tarief;</w:t>
      </w:r>
    </w:p>
    <w:p>
      <w:pPr>
        <w:pStyle w:val="ListParagraph"/>
        <w:numPr>
          <w:ilvl w:val="0"/>
          <w:numId w:val="2"/>
        </w:numPr>
        <w:spacing w:after="100" w:line="360"/>
      </w:pPr>
      <w:r>
        <w:rPr>
          <w:rFonts w:ascii="Mulish" w:cs="Mulish" w:eastAsia="Mulish" w:hAnsi="Mulish"/>
          <w:sz w:val="22"/>
          <w:szCs w:val="22"/>
        </w:rPr>
        <w:t xml:space="preserve">doorbelasting van administratieve fouten en infrastructureel falen aan de afnemer;</w:t>
      </w:r>
    </w:p>
    <w:p>
      <w:pPr>
        <w:spacing w:after="140" w:before="0" w:line="360"/>
      </w:pPr>
      <w:r>
        <w:rPr>
          <w:rFonts w:ascii="Mulish" w:cs="Mulish" w:eastAsia="Mulish" w:hAnsi="Mulish"/>
          <w:sz w:val="22"/>
          <w:szCs w:val="22"/>
        </w:rPr>
        <w:t xml:space="preserve">vertoont kenmerken van uitbuitingsmisbruik in de zin van art. 24 Mw.</w:t>
      </w:r>
    </w:p>
    <w:p>
      <w:pPr>
        <w:pStyle w:val="Heading3"/>
        <w:spacing w:after="120" w:before="220"/>
      </w:pPr>
      <w:r>
        <w:rPr>
          <w:rFonts w:ascii="Poppins" w:cs="Poppins" w:eastAsia="Poppins" w:hAnsi="Poppins"/>
          <w:b/>
          <w:bCs/>
          <w:color w:val="333333"/>
          <w:sz w:val="24"/>
          <w:szCs w:val="24"/>
        </w:rPr>
        <w:t xml:space="preserve">Precedent: Rb. Rotterdam 13 februari 2025 (Leadiant/ACM)</w:t>
      </w:r>
    </w:p>
    <w:p>
      <w:pPr>
        <w:spacing w:after="140" w:before="0" w:line="360"/>
      </w:pPr>
      <w:r>
        <w:rPr>
          <w:rFonts w:ascii="Mulish" w:cs="Mulish" w:eastAsia="Mulish" w:hAnsi="Mulish"/>
          <w:sz w:val="22"/>
          <w:szCs w:val="22"/>
        </w:rPr>
        <w:t xml:space="preserve">In ECLI:NL:RBROT:2025:1811 bevestigde de Rechtbank Rotterdam dat de geneesmiddelenfabrikant Leadiant misbruik had gemaakt van haar economische machtspositie door een excessieve prijs te rekenen voor een onmisbaar geneesmiddel waarvoor geen alternatief beschikbaar was. De rechtbank hanteerde de toets: was de prijs te verklaren door extra kosten, investeringen of innovaties? En: was er een alternatief beschikbaar?</w:t>
      </w:r>
    </w:p>
    <w:p>
      <w:pPr>
        <w:spacing w:after="140" w:before="0" w:line="360"/>
      </w:pPr>
      <w:r>
        <w:rPr>
          <w:rFonts w:ascii="Mulish" w:cs="Mulish" w:eastAsia="Mulish" w:hAnsi="Mulish"/>
          <w:sz w:val="22"/>
          <w:szCs w:val="22"/>
        </w:rPr>
        <w:t xml:space="preserve">Voor de bewoners van Landgoed De Stille Wille zijn beide vragen relevant: het verschil tussen het SWB-tarief en de marktprijs wordt niet volledig verklaard door de lekverliezen en kan niet worden gerechtvaardigd door bijzondere investeringen, en een alternatief is contractueel uitgesloten.</w:t>
      </w:r>
    </w:p>
    <w:p>
      <w:pPr>
        <w:pStyle w:val="Heading3"/>
        <w:spacing w:after="120" w:before="220"/>
      </w:pPr>
      <w:r>
        <w:rPr>
          <w:rFonts w:ascii="Poppins" w:cs="Poppins" w:eastAsia="Poppins" w:hAnsi="Poppins"/>
          <w:b/>
          <w:bCs/>
          <w:color w:val="333333"/>
          <w:sz w:val="24"/>
          <w:szCs w:val="24"/>
        </w:rPr>
        <w:t xml:space="preserve">Tegenargument en eerlijke afweging</w:t>
      </w:r>
    </w:p>
    <w:p>
      <w:pPr>
        <w:spacing w:after="140" w:before="0" w:line="360"/>
      </w:pPr>
      <w:r>
        <w:rPr>
          <w:rFonts w:ascii="Mulish" w:cs="Mulish" w:eastAsia="Mulish" w:hAnsi="Mulish"/>
          <w:sz w:val="22"/>
          <w:szCs w:val="22"/>
        </w:rPr>
        <w:t xml:space="preserve">De rechtspraak hanteert een hoge drempel voor het aannemen van excessieve prijzen (uitbuitingsmisbruik): de prijs moet evident bovenmatig zijn in verhouding tot de werkelijke kostenstructuur. Het feit dat een prijs boven marktniveau ligt, is op zichzelf niet voldoende. Voor een succesvolle ACM-procedure zou een grondig kostprijsonderzoek vereist zijn. Niettemin biedt dit spoor:</w:t>
      </w:r>
    </w:p>
    <w:p>
      <w:pPr>
        <w:pStyle w:val="ListParagraph"/>
        <w:numPr>
          <w:ilvl w:val="0"/>
          <w:numId w:val="2"/>
        </w:numPr>
        <w:spacing w:after="100" w:line="360"/>
      </w:pPr>
      <w:r>
        <w:rPr>
          <w:rFonts w:ascii="Mulish" w:cs="Mulish" w:eastAsia="Mulish" w:hAnsi="Mulish"/>
          <w:sz w:val="22"/>
          <w:szCs w:val="22"/>
        </w:rPr>
        <w:t xml:space="preserve">een serieus drukmiddel richting SWB om alsnog tot een redelijke oplossing te komen;</w:t>
      </w:r>
    </w:p>
    <w:p>
      <w:pPr>
        <w:pStyle w:val="ListParagraph"/>
        <w:numPr>
          <w:ilvl w:val="0"/>
          <w:numId w:val="2"/>
        </w:numPr>
        <w:spacing w:after="100" w:line="360"/>
      </w:pPr>
      <w:r>
        <w:rPr>
          <w:rFonts w:ascii="Mulish" w:cs="Mulish" w:eastAsia="Mulish" w:hAnsi="Mulish"/>
          <w:sz w:val="22"/>
          <w:szCs w:val="22"/>
        </w:rPr>
        <w:t xml:space="preserve">een herkenbaar juridisch kader voor de rechtsbijstandsverzekeraar;</w:t>
      </w:r>
    </w:p>
    <w:p>
      <w:pPr>
        <w:pStyle w:val="ListParagraph"/>
        <w:numPr>
          <w:ilvl w:val="0"/>
          <w:numId w:val="2"/>
        </w:numPr>
        <w:spacing w:after="100" w:line="360"/>
      </w:pPr>
      <w:r>
        <w:rPr>
          <w:rFonts w:ascii="Mulish" w:cs="Mulish" w:eastAsia="Mulish" w:hAnsi="Mulish"/>
          <w:sz w:val="22"/>
          <w:szCs w:val="22"/>
        </w:rPr>
        <w:t xml:space="preserve">de mogelijkheid een formele melding te overwegen bij de Autoriteit Consument &amp; Markt (ACM, via ACM ConsuWijzer).</w:t>
      </w:r>
    </w:p>
    <w:p>
      <w:pPr>
        <w:pStyle w:val="Heading2"/>
        <w:spacing w:after="180" w:before="320"/>
      </w:pPr>
      <w:r>
        <w:rPr>
          <w:rFonts w:ascii="Poppins" w:cs="Poppins" w:eastAsia="Poppins" w:hAnsi="Poppins"/>
          <w:b/>
          <w:bCs/>
          <w:color w:val="800000"/>
          <w:sz w:val="28"/>
          <w:szCs w:val="28"/>
        </w:rPr>
        <w:t xml:space="preserve">C.5  Oneerlijke handelspraktijk (art. 6:193a e.v. BW)</w:t>
      </w:r>
    </w:p>
    <w:p>
      <w:pPr>
        <w:pStyle w:val="Heading3"/>
        <w:spacing w:after="120" w:before="220"/>
      </w:pPr>
      <w:r>
        <w:rPr>
          <w:rFonts w:ascii="Poppins" w:cs="Poppins" w:eastAsia="Poppins" w:hAnsi="Poppins"/>
          <w:b/>
          <w:bCs/>
          <w:color w:val="333333"/>
          <w:sz w:val="24"/>
          <w:szCs w:val="24"/>
        </w:rPr>
        <w:t xml:space="preserve">Wettelijk kader</w:t>
      </w:r>
    </w:p>
    <w:p>
      <w:pPr>
        <w:spacing w:after="140" w:before="0" w:line="360"/>
      </w:pPr>
      <w:r>
        <w:rPr>
          <w:rFonts w:ascii="Mulish" w:cs="Mulish" w:eastAsia="Mulish" w:hAnsi="Mulish"/>
          <w:sz w:val="22"/>
          <w:szCs w:val="22"/>
        </w:rPr>
        <w:t xml:space="preserve">De Wet Oneerlijke Handelspraktijken (Wet OHP), neergelegd in art. 6:193a tot en met 6:193j van het Burgerlijk Wetboek, verbiedt misleidende en agressieve handelspraktijken van handelaren jegens consumenten. Een handelspraktijk is misleidend wanneer:</w:t>
      </w:r>
    </w:p>
    <w:p>
      <w:pPr>
        <w:pStyle w:val="ListParagraph"/>
        <w:numPr>
          <w:ilvl w:val="0"/>
          <w:numId w:val="2"/>
        </w:numPr>
        <w:spacing w:after="100" w:line="360"/>
      </w:pPr>
      <w:r>
        <w:rPr>
          <w:rFonts w:ascii="Mulish" w:cs="Mulish" w:eastAsia="Mulish" w:hAnsi="Mulish"/>
          <w:sz w:val="22"/>
          <w:szCs w:val="22"/>
        </w:rPr>
        <w:t xml:space="preserve">feitelijk onjuiste informatie wordt verstrekt (art. 6:193c BW);</w:t>
      </w:r>
    </w:p>
    <w:p>
      <w:pPr>
        <w:pStyle w:val="ListParagraph"/>
        <w:numPr>
          <w:ilvl w:val="0"/>
          <w:numId w:val="2"/>
        </w:numPr>
        <w:spacing w:after="100" w:line="360"/>
      </w:pPr>
      <w:r>
        <w:rPr>
          <w:rFonts w:ascii="Mulish" w:cs="Mulish" w:eastAsia="Mulish" w:hAnsi="Mulish"/>
          <w:sz w:val="22"/>
          <w:szCs w:val="22"/>
        </w:rPr>
        <w:t xml:space="preserve">essentiële informatie wordt weggelaten waardoor de gemiddelde consument een besluit neemt dat hij anders niet had genomen (misleidende omissie, art. 6:193d BW);</w:t>
      </w:r>
    </w:p>
    <w:p>
      <w:pPr>
        <w:pStyle w:val="ListParagraph"/>
        <w:numPr>
          <w:ilvl w:val="0"/>
          <w:numId w:val="2"/>
        </w:numPr>
        <w:spacing w:after="100" w:line="360"/>
      </w:pPr>
      <w:r>
        <w:rPr>
          <w:rFonts w:ascii="Mulish" w:cs="Mulish" w:eastAsia="Mulish" w:hAnsi="Mulish"/>
          <w:sz w:val="22"/>
          <w:szCs w:val="22"/>
        </w:rPr>
        <w:t xml:space="preserve">niet alle bijkomende kosten in de prijs worden vermeld, waardoor de totaalprijs onverwacht hoger uitkomt.</w:t>
      </w:r>
    </w:p>
    <w:p>
      <w:pPr>
        <w:spacing w:after="140" w:before="0" w:line="360"/>
      </w:pPr>
      <w:r>
        <w:rPr>
          <w:rFonts w:ascii="Mulish" w:cs="Mulish" w:eastAsia="Mulish" w:hAnsi="Mulish"/>
          <w:sz w:val="22"/>
          <w:szCs w:val="22"/>
        </w:rPr>
        <w:t xml:space="preserve">De ACM is toezichthouder en kan bij overtreding boetes opleggen tot € 900.000.</w:t>
      </w:r>
    </w:p>
    <w:p>
      <w:pPr>
        <w:pStyle w:val="Heading3"/>
        <w:spacing w:after="120" w:before="220"/>
      </w:pPr>
      <w:r>
        <w:rPr>
          <w:rFonts w:ascii="Poppins" w:cs="Poppins" w:eastAsia="Poppins" w:hAnsi="Poppins"/>
          <w:b/>
          <w:bCs/>
          <w:color w:val="333333"/>
          <w:sz w:val="24"/>
          <w:szCs w:val="24"/>
        </w:rPr>
        <w:t xml:space="preserve">Toepasselijkheid op deze zaak</w:t>
      </w:r>
    </w:p>
    <w:p>
      <w:pPr>
        <w:spacing w:after="140" w:before="0" w:line="360"/>
      </w:pPr>
      <w:r>
        <w:rPr>
          <w:rFonts w:ascii="Mulish" w:cs="Mulish" w:eastAsia="Mulish" w:hAnsi="Mulish"/>
          <w:sz w:val="22"/>
          <w:szCs w:val="22"/>
        </w:rPr>
        <w:t xml:space="preserve">De bewoners zijn voor hun gasvoorziening in een langlopende contractuele relatie verstrengeld met SWB. Niettemin reikt de Wet OHP, gelet op het arrest van het Europese Hof van Justitie van 20 juli 2017 (ECLI:EU:C:2017:573), ook tot maatregelen die genomen worden in verband met de uitvoering van een consumentenovereenkomst, waaronder het verkrijgen van betaling.</w:t>
      </w:r>
    </w:p>
    <w:p>
      <w:pPr>
        <w:spacing w:after="140" w:before="0" w:line="360"/>
      </w:pPr>
      <w:r>
        <w:rPr>
          <w:rFonts w:ascii="Mulish" w:cs="Mulish" w:eastAsia="Mulish" w:hAnsi="Mulish"/>
          <w:sz w:val="22"/>
          <w:szCs w:val="22"/>
        </w:rPr>
        <w:t xml:space="preserve">In de onderhavige zaak wijzen meerdere elementen op een mogelijk misleidende omissie:</w:t>
      </w:r>
    </w:p>
    <w:p>
      <w:pPr>
        <w:pStyle w:val="ListParagraph"/>
        <w:numPr>
          <w:ilvl w:val="0"/>
          <w:numId w:val="2"/>
        </w:numPr>
        <w:spacing w:after="100" w:line="360"/>
      </w:pPr>
      <w:r>
        <w:rPr>
          <w:rFonts w:ascii="Mulish" w:cs="Mulish" w:eastAsia="Mulish" w:hAnsi="Mulish"/>
          <w:sz w:val="22"/>
          <w:szCs w:val="22"/>
        </w:rPr>
        <w:t xml:space="preserve">het achteraf en met terugwerkende kracht opleggen van een naheffing voor periodes waarvoor reeds eindafrekeningen waren verstrekt;</w:t>
      </w:r>
    </w:p>
    <w:p>
      <w:pPr>
        <w:pStyle w:val="ListParagraph"/>
        <w:numPr>
          <w:ilvl w:val="0"/>
          <w:numId w:val="2"/>
        </w:numPr>
        <w:spacing w:after="100" w:line="360"/>
      </w:pPr>
      <w:r>
        <w:rPr>
          <w:rFonts w:ascii="Mulish" w:cs="Mulish" w:eastAsia="Mulish" w:hAnsi="Mulish"/>
          <w:sz w:val="22"/>
          <w:szCs w:val="22"/>
        </w:rPr>
        <w:t xml:space="preserve">het ontbreken van een transparante, vooraf gecommuniceerde opbouw van het m³-tarief;</w:t>
      </w:r>
    </w:p>
    <w:p>
      <w:pPr>
        <w:pStyle w:val="ListParagraph"/>
        <w:numPr>
          <w:ilvl w:val="0"/>
          <w:numId w:val="2"/>
        </w:numPr>
        <w:spacing w:after="100" w:line="360"/>
      </w:pPr>
      <w:r>
        <w:rPr>
          <w:rFonts w:ascii="Mulish" w:cs="Mulish" w:eastAsia="Mulish" w:hAnsi="Mulish"/>
          <w:sz w:val="22"/>
          <w:szCs w:val="22"/>
        </w:rPr>
        <w:t xml:space="preserve">de afwezigheid van informatie over kostencomponenten zoals lekverlies, transport, tankhuur en marge in de factuur en het begeleidende schrijven;</w:t>
      </w:r>
    </w:p>
    <w:p>
      <w:pPr>
        <w:pStyle w:val="ListParagraph"/>
        <w:numPr>
          <w:ilvl w:val="0"/>
          <w:numId w:val="2"/>
        </w:numPr>
        <w:spacing w:after="100" w:line="360"/>
      </w:pPr>
      <w:r>
        <w:rPr>
          <w:rFonts w:ascii="Mulish" w:cs="Mulish" w:eastAsia="Mulish" w:hAnsi="Mulish"/>
          <w:sz w:val="22"/>
          <w:szCs w:val="22"/>
        </w:rPr>
        <w:t xml:space="preserve">het uitblijven van een waarschuwing dat correcties met terugwerkende kracht mogelijk zouden zijn.</w:t>
      </w:r>
    </w:p>
    <w:p>
      <w:pPr>
        <w:pStyle w:val="Heading3"/>
        <w:spacing w:after="120" w:before="220"/>
      </w:pPr>
      <w:r>
        <w:rPr>
          <w:rFonts w:ascii="Poppins" w:cs="Poppins" w:eastAsia="Poppins" w:hAnsi="Poppins"/>
          <w:b/>
          <w:bCs/>
          <w:color w:val="333333"/>
          <w:sz w:val="24"/>
          <w:szCs w:val="24"/>
        </w:rPr>
        <w:t xml:space="preserve">Eerlijke afweging</w:t>
      </w:r>
    </w:p>
    <w:p>
      <w:pPr>
        <w:spacing w:after="140" w:before="0" w:line="360"/>
      </w:pPr>
      <w:r>
        <w:rPr>
          <w:rFonts w:ascii="Mulish" w:cs="Mulish" w:eastAsia="Mulish" w:hAnsi="Mulish"/>
          <w:sz w:val="22"/>
          <w:szCs w:val="22"/>
        </w:rPr>
        <w:t xml:space="preserve">De Wet OHP wordt door rechters meestal als ondersteunend argument aanvaard naast andere gronden, zelden als zelfstandige doorslaggevende basis voor herziening van een lopende contractuele relatie. Het primaire nut van dit spoor in deze zaak is:</w:t>
      </w:r>
    </w:p>
    <w:p>
      <w:pPr>
        <w:pStyle w:val="ListParagraph"/>
        <w:numPr>
          <w:ilvl w:val="0"/>
          <w:numId w:val="2"/>
        </w:numPr>
        <w:spacing w:after="100" w:line="360"/>
      </w:pPr>
      <w:r>
        <w:rPr>
          <w:rFonts w:ascii="Mulish" w:cs="Mulish" w:eastAsia="Mulish" w:hAnsi="Mulish"/>
          <w:sz w:val="22"/>
          <w:szCs w:val="22"/>
        </w:rPr>
        <w:t xml:space="preserve">versterking van het gesamtbeeld dat SWB op meerdere fronten haar wettelijke verplichtingen onvoldoende nakomt;</w:t>
      </w:r>
    </w:p>
    <w:p>
      <w:pPr>
        <w:pStyle w:val="ListParagraph"/>
        <w:numPr>
          <w:ilvl w:val="0"/>
          <w:numId w:val="2"/>
        </w:numPr>
        <w:spacing w:after="100" w:line="360"/>
      </w:pPr>
      <w:r>
        <w:rPr>
          <w:rFonts w:ascii="Mulish" w:cs="Mulish" w:eastAsia="Mulish" w:hAnsi="Mulish"/>
          <w:sz w:val="22"/>
          <w:szCs w:val="22"/>
        </w:rPr>
        <w:t xml:space="preserve">de mogelijkheid een melding bij ACM ConsuWijzer te doen, hetgeen tot een onderzoek of waarschuwing kan leiden.</w:t>
      </w:r>
    </w:p>
    <w:p>
      <w:pPr>
        <w:pStyle w:val="Heading2"/>
        <w:spacing w:after="180" w:before="320"/>
      </w:pPr>
      <w:r>
        <w:rPr>
          <w:rFonts w:ascii="Poppins" w:cs="Poppins" w:eastAsia="Poppins" w:hAnsi="Poppins"/>
          <w:b/>
          <w:bCs/>
          <w:color w:val="800000"/>
          <w:sz w:val="28"/>
          <w:szCs w:val="28"/>
        </w:rPr>
        <w:t xml:space="preserve">C.6  Samenvattend juridisch 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826"/>
      </w:tblGrid>
      <w:tr>
        <w:trPr>
          <w:tblHeader/>
        </w:trPr>
        <w:tc>
          <w:tcPr>
            <w:tcW w:type="dxa" w:w="24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Spoor</w:t>
            </w:r>
          </w:p>
        </w:tc>
        <w:tc>
          <w:tcPr>
            <w:tcW w:type="dxa" w:w="24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Juridische grondslag</w:t>
            </w:r>
          </w:p>
        </w:tc>
        <w:tc>
          <w:tcPr>
            <w:tcW w:type="dxa" w:w="14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Sterkte</w:t>
            </w:r>
          </w:p>
        </w:tc>
        <w:tc>
          <w:tcPr>
            <w:tcW w:type="dxa" w:w="2826"/>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Praktisch nut</w:t>
            </w:r>
          </w:p>
        </w:tc>
      </w:tr>
      <w:tr>
        <w:tc>
          <w:tcPr>
            <w:tcW w:type="dxa" w:w="2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Contractuele monopolie + zorgplicht</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Art. 6.4 + 7.11 Expl.ov. + art. 15b AB Erfp.</w:t>
            </w:r>
          </w:p>
        </w:tc>
        <w:tc>
          <w:tcPr>
            <w:tcW w:type="dxa" w:w="1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Hoog</w:t>
            </w:r>
          </w:p>
        </w:tc>
        <w:tc>
          <w:tcPr>
            <w:tcW w:type="dxa" w:w="2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Fundament onder alle andere sporen</w:t>
            </w:r>
          </w:p>
        </w:tc>
      </w:tr>
      <w:tr>
        <w:tc>
          <w:tcPr>
            <w:tcW w:type="dxa" w:w="2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Vervangingsplicht grondeigenaar</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ECLI:NL:GHSHE:2013:3708 + 2014:3639</w:t>
            </w:r>
          </w:p>
        </w:tc>
        <w:tc>
          <w:tcPr>
            <w:tcW w:type="dxa" w:w="1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Hoog</w:t>
            </w:r>
          </w:p>
        </w:tc>
        <w:tc>
          <w:tcPr>
            <w:tcW w:type="dxa" w:w="2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Direct precedent, specifiek deze partij</w:t>
            </w:r>
          </w:p>
        </w:tc>
      </w:tr>
      <w:tr>
        <w:tc>
          <w:tcPr>
            <w:tcW w:type="dxa" w:w="2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Onaanvaardbaarheid art. 6:248 lid 2 BW</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Burgerlijk Wetboek</w:t>
            </w:r>
          </w:p>
        </w:tc>
        <w:tc>
          <w:tcPr>
            <w:tcW w:type="dxa" w:w="1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Hoog</w:t>
            </w:r>
          </w:p>
        </w:tc>
        <w:tc>
          <w:tcPr>
            <w:tcW w:type="dxa" w:w="2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Sterkste juridische instrument</w:t>
            </w:r>
          </w:p>
        </w:tc>
      </w:tr>
      <w:tr>
        <w:tc>
          <w:tcPr>
            <w:tcW w:type="dxa" w:w="2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Misbruik machtspositie</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Art. 24 Mw + Leadiant-arrest</w:t>
            </w:r>
          </w:p>
        </w:tc>
        <w:tc>
          <w:tcPr>
            <w:tcW w:type="dxa" w:w="1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Middel-hoog</w:t>
            </w:r>
          </w:p>
        </w:tc>
        <w:tc>
          <w:tcPr>
            <w:tcW w:type="dxa" w:w="2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Drukmiddel, mogelijke ACM-melding</w:t>
            </w:r>
          </w:p>
        </w:tc>
      </w:tr>
      <w:tr>
        <w:tc>
          <w:tcPr>
            <w:tcW w:type="dxa" w:w="2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Oneerlijke handelspraktijk</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Art. 6:193a e.v. BW + EU-richtlijn</w:t>
            </w:r>
          </w:p>
        </w:tc>
        <w:tc>
          <w:tcPr>
            <w:tcW w:type="dxa" w:w="14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b/>
                <w:bCs/>
                <w:color w:val="800000"/>
                <w:sz w:val="20"/>
                <w:szCs w:val="20"/>
              </w:rPr>
              <w:t xml:space="preserve">Middel</w:t>
            </w:r>
          </w:p>
        </w:tc>
        <w:tc>
          <w:tcPr>
            <w:tcW w:type="dxa" w:w="28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Ondersteunend, ACM-melding mogelijk</w:t>
            </w:r>
          </w:p>
        </w:tc>
      </w:tr>
    </w:tbl>
    <w:p>
      <w:r>
        <w:br w:type="page"/>
      </w:r>
    </w:p>
    <w:p>
      <w:pPr>
        <w:pStyle w:val="Heading1"/>
        <w:pBdr>
          <w:bottom w:val="single" w:color="800000" w:sz="18" w:space="6"/>
        </w:pBdr>
        <w:spacing w:after="280" w:before="480"/>
      </w:pPr>
      <w:r>
        <w:rPr>
          <w:rFonts w:ascii="Poppins" w:cs="Poppins" w:eastAsia="Poppins" w:hAnsi="Poppins"/>
          <w:b/>
          <w:bCs/>
          <w:color w:val="800000"/>
          <w:sz w:val="40"/>
          <w:szCs w:val="40"/>
        </w:rPr>
        <w:t xml:space="preserve">D. Bewijspositie</w:t>
      </w:r>
    </w:p>
    <w:p>
      <w:pPr>
        <w:spacing w:after="140" w:before="0" w:line="360"/>
      </w:pPr>
      <w:r>
        <w:rPr>
          <w:rFonts w:ascii="Mulish" w:cs="Mulish" w:eastAsia="Mulish" w:hAnsi="Mulish"/>
          <w:sz w:val="22"/>
          <w:szCs w:val="22"/>
        </w:rPr>
        <w:t xml:space="preserve">De volgende stukken vormen de bewijsbasis van dit dossier. Aangegeven is welke stukken hard, openbaar en verifieerbaar zijn, en welke nog door de individuele bewoner moeten worden toegevoegd.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626"/>
      </w:tblGrid>
      <w:tr>
        <w:trPr>
          <w:tblHeader/>
        </w:trPr>
        <w:tc>
          <w:tcPr>
            <w:tcW w:type="dxa" w:w="40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Bewijsstuk</w:t>
            </w:r>
          </w:p>
        </w:tc>
        <w:tc>
          <w:tcPr>
            <w:tcW w:type="dxa" w:w="24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Status</w:t>
            </w:r>
          </w:p>
        </w:tc>
        <w:tc>
          <w:tcPr>
            <w:tcW w:type="dxa" w:w="2626"/>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Vindplaats</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Tussenarrest Gerechtshof 's-Hertogenbosch</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Openbaar, geverifieerd</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ECLI:NL:GHSHE:2013:3708</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Eindarrest Gerechtshof 's-Hertogenbosch</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Openbaar, geverifieerd</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ECLI:NL:GHSHE:2014:3639</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Latere arresten Hof 's-Hertogenbosch</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Openbaar</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ECLI:NL:GHSHE:2020:332, 2023:733</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Rb. Rotterdam Leadiant/ACM</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Openbaar, geverifieerd</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ECLI:NL:RBROT:2025:1811</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Exploitatieovereenkomst (versie 2025), art. 6.4, 7.11, 15.1</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Contractdocument</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Door bewoner zelf in bezit</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Algemene Bepalingen Erfpacht, art. 15b</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Contractdocument</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Aangehecht aan erfpachtakte</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Onderzoeksverslag gasprijs Stille Wille (Breedveld/Schoenmaker, juni 2020)</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Onderbouwd door bewoners</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VHSW / Bestwil archief</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Marktprijsreferentie 2026 (Tankgas / Antargaz / Benegas)</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Openbare tariefkaarten</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Websites leveranciers</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Begeleidend schrijven SWB bij naheffing</w:t>
            </w:r>
          </w:p>
        </w:tc>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Schriftelijke verklaring SWB</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Per bewoner per e-mail / post</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Individuele naheffingsfactuur</w:t>
            </w:r>
          </w:p>
        </w:tc>
        <w:tc>
          <w:tcPr>
            <w:tcW w:type="dxa" w:w="2400"/>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Door bewoner toe te voegen</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Persoonlijke factuur SWB</w:t>
            </w:r>
          </w:p>
        </w:tc>
      </w:tr>
      <w:tr>
        <w:tc>
          <w:tcPr>
            <w:tcW w:type="dxa" w:w="40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Schriftelijk bezwaar (kopie + ontvangstbevestiging)</w:t>
            </w:r>
          </w:p>
        </w:tc>
        <w:tc>
          <w:tcPr>
            <w:tcW w:type="dxa" w:w="2400"/>
            <w:tcBorders>
              <w:top w:val="single" w:color="DDDDDD" w:sz="4"/>
              <w:left w:val="single" w:color="DDDDDD" w:sz="4"/>
              <w:bottom w:val="single" w:color="DDDDDD" w:sz="4"/>
              <w:right w:val="single" w:color="DDDDDD" w:sz="4"/>
            </w:tcBorders>
            <w:shd w:fill="FFF3E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Door bewoner toe te voegen</w:t>
            </w:r>
          </w:p>
        </w:tc>
        <w:tc>
          <w:tcPr>
            <w:tcW w:type="dxa" w:w="2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Eigen administratie</w:t>
            </w:r>
          </w:p>
        </w:tc>
      </w:tr>
    </w:tbl>
    <w:p>
      <w:r>
        <w:br w:type="page"/>
      </w:r>
    </w:p>
    <w:p>
      <w:pPr>
        <w:pStyle w:val="Heading1"/>
        <w:pBdr>
          <w:bottom w:val="single" w:color="800000" w:sz="18" w:space="6"/>
        </w:pBdr>
        <w:spacing w:after="280" w:before="480"/>
      </w:pPr>
      <w:r>
        <w:rPr>
          <w:rFonts w:ascii="Poppins" w:cs="Poppins" w:eastAsia="Poppins" w:hAnsi="Poppins"/>
          <w:b/>
          <w:bCs/>
          <w:color w:val="800000"/>
          <w:sz w:val="40"/>
          <w:szCs w:val="40"/>
        </w:rPr>
        <w:t xml:space="preserve">E. Gevorderde uitkomst</w:t>
      </w:r>
    </w:p>
    <w:p>
      <w:pPr>
        <w:spacing w:after="140" w:before="0" w:line="360"/>
      </w:pPr>
      <w:r>
        <w:rPr>
          <w:rFonts w:ascii="Mulish" w:cs="Mulish" w:eastAsia="Mulish" w:hAnsi="Mulish"/>
          <w:sz w:val="22"/>
          <w:szCs w:val="22"/>
        </w:rPr>
        <w:t xml:space="preserve">De gasverbruikende bewoners verzoeken — primair, secundair en subsidiair — het volgende.</w:t>
      </w:r>
    </w:p>
    <w:p>
      <w:pPr>
        <w:pStyle w:val="Heading2"/>
        <w:spacing w:after="180" w:before="320"/>
      </w:pPr>
      <w:r>
        <w:rPr>
          <w:rFonts w:ascii="Poppins" w:cs="Poppins" w:eastAsia="Poppins" w:hAnsi="Poppins"/>
          <w:b/>
          <w:bCs/>
          <w:color w:val="800000"/>
          <w:sz w:val="28"/>
          <w:szCs w:val="28"/>
        </w:rPr>
        <w:t xml:space="preserve">Primair</w:t>
      </w:r>
    </w:p>
    <w:p>
      <w:pPr>
        <w:pStyle w:val="ListParagraph"/>
        <w:numPr>
          <w:ilvl w:val="0"/>
          <w:numId w:val="3"/>
        </w:numPr>
        <w:spacing w:after="120" w:line="360"/>
      </w:pPr>
      <w:r>
        <w:rPr>
          <w:rFonts w:ascii="Mulish" w:cs="Mulish" w:eastAsia="Mulish" w:hAnsi="Mulish"/>
          <w:sz w:val="22"/>
          <w:szCs w:val="22"/>
        </w:rPr>
        <w:t xml:space="preserve">Herziening van de naheffingsfactuur, in die zin dat de toeslag van € 1,95 per m³ vervalt en de basisprijs van € 5,55 per m³ wordt verlaagd tot een marktconform niveau.</w:t>
      </w:r>
    </w:p>
    <w:p>
      <w:pPr>
        <w:pStyle w:val="ListParagraph"/>
        <w:numPr>
          <w:ilvl w:val="0"/>
          <w:numId w:val="3"/>
        </w:numPr>
        <w:spacing w:after="120" w:line="360"/>
      </w:pPr>
      <w:r>
        <w:rPr>
          <w:rFonts w:ascii="Mulish" w:cs="Mulish" w:eastAsia="Mulish" w:hAnsi="Mulish"/>
          <w:sz w:val="22"/>
          <w:szCs w:val="22"/>
        </w:rPr>
        <w:t xml:space="preserve">Herziening van het maandelijkse voorschotbedrag, in die zin dat dit wordt gebaseerd op een marktconform propaantarief en uitsluitend op het verwachte eigen verbruik van de bewoner.</w:t>
      </w:r>
    </w:p>
    <w:p>
      <w:pPr>
        <w:pStyle w:val="ListParagraph"/>
        <w:numPr>
          <w:ilvl w:val="0"/>
          <w:numId w:val="3"/>
        </w:numPr>
        <w:spacing w:after="120" w:line="360"/>
      </w:pPr>
      <w:r>
        <w:rPr>
          <w:rFonts w:ascii="Mulish" w:cs="Mulish" w:eastAsia="Mulish" w:hAnsi="Mulish"/>
          <w:sz w:val="22"/>
          <w:szCs w:val="22"/>
        </w:rPr>
        <w:t xml:space="preserve">Bevestiging dat de bewoner uitsluitend hoeft te betalen voor het feitelijk en correct gemeten eigen verbruik, tegen een marktconform en transparant propaantarief.</w:t>
      </w:r>
    </w:p>
    <w:p>
      <w:pPr>
        <w:pStyle w:val="ListParagraph"/>
        <w:numPr>
          <w:ilvl w:val="0"/>
          <w:numId w:val="3"/>
        </w:numPr>
        <w:spacing w:after="120" w:line="360"/>
      </w:pPr>
      <w:r>
        <w:rPr>
          <w:rFonts w:ascii="Mulish" w:cs="Mulish" w:eastAsia="Mulish" w:hAnsi="Mulish"/>
          <w:sz w:val="22"/>
          <w:szCs w:val="22"/>
        </w:rPr>
        <w:t xml:space="preserve">Schriftelijke bevestiging dat de kosten van vervanging van het gasleidingnet, conform de arresten van het Hof 's-Hertogenbosch, voor rekening van de grondeigenaar komen en niet via de exploitatie aan de bewoners worden doorbelast.</w:t>
      </w:r>
    </w:p>
    <w:p>
      <w:pPr>
        <w:pStyle w:val="ListParagraph"/>
        <w:numPr>
          <w:ilvl w:val="0"/>
          <w:numId w:val="3"/>
        </w:numPr>
        <w:spacing w:after="120" w:line="360"/>
      </w:pPr>
      <w:r>
        <w:rPr>
          <w:rFonts w:ascii="Mulish" w:cs="Mulish" w:eastAsia="Mulish" w:hAnsi="Mulish"/>
          <w:sz w:val="22"/>
          <w:szCs w:val="22"/>
        </w:rPr>
        <w:t xml:space="preserve">Schriftelijke specificatie van de inkoopprijs, omrekenfactor liter-naar-m³, en de volledige opbouw van het m³-tarief en het nieuwe voorschotbedrag.</w:t>
      </w:r>
    </w:p>
    <w:p>
      <w:pPr>
        <w:pStyle w:val="Heading2"/>
        <w:spacing w:after="180" w:before="320"/>
      </w:pPr>
      <w:r>
        <w:rPr>
          <w:rFonts w:ascii="Poppins" w:cs="Poppins" w:eastAsia="Poppins" w:hAnsi="Poppins"/>
          <w:b/>
          <w:bCs/>
          <w:color w:val="800000"/>
          <w:sz w:val="28"/>
          <w:szCs w:val="28"/>
        </w:rPr>
        <w:t xml:space="preserve">Secundair</w:t>
      </w:r>
    </w:p>
    <w:p>
      <w:pPr>
        <w:pStyle w:val="ListParagraph"/>
        <w:numPr>
          <w:ilvl w:val="0"/>
          <w:numId w:val="3"/>
        </w:numPr>
        <w:spacing w:after="120" w:line="360"/>
      </w:pPr>
      <w:r>
        <w:rPr>
          <w:rFonts w:ascii="Mulish" w:cs="Mulish" w:eastAsia="Mulish" w:hAnsi="Mulish"/>
          <w:sz w:val="22"/>
          <w:szCs w:val="22"/>
        </w:rPr>
        <w:t xml:space="preserve">Een door een onafhankelijke partij gevalideerde herberekening van het tekort.</w:t>
      </w:r>
    </w:p>
    <w:p>
      <w:pPr>
        <w:pStyle w:val="ListParagraph"/>
        <w:numPr>
          <w:ilvl w:val="0"/>
          <w:numId w:val="3"/>
        </w:numPr>
        <w:spacing w:after="120" w:line="360"/>
      </w:pPr>
      <w:r>
        <w:rPr>
          <w:rFonts w:ascii="Mulish" w:cs="Mulish" w:eastAsia="Mulish" w:hAnsi="Mulish"/>
          <w:sz w:val="22"/>
          <w:szCs w:val="22"/>
        </w:rPr>
        <w:t xml:space="preserve">Opschorting van iedere incassoactie zolang de bezwaarprocedure loopt.</w:t>
      </w:r>
    </w:p>
    <w:p>
      <w:pPr>
        <w:pStyle w:val="Heading2"/>
        <w:spacing w:after="180" w:before="320"/>
      </w:pPr>
      <w:r>
        <w:rPr>
          <w:rFonts w:ascii="Poppins" w:cs="Poppins" w:eastAsia="Poppins" w:hAnsi="Poppins"/>
          <w:b/>
          <w:bCs/>
          <w:color w:val="800000"/>
          <w:sz w:val="28"/>
          <w:szCs w:val="28"/>
        </w:rPr>
        <w:t xml:space="preserve">Subsidiair</w:t>
      </w:r>
    </w:p>
    <w:p>
      <w:pPr>
        <w:pStyle w:val="ListParagraph"/>
        <w:numPr>
          <w:ilvl w:val="0"/>
          <w:numId w:val="3"/>
        </w:numPr>
        <w:spacing w:after="120" w:line="360"/>
      </w:pPr>
      <w:r>
        <w:rPr>
          <w:rFonts w:ascii="Mulish" w:cs="Mulish" w:eastAsia="Mulish" w:hAnsi="Mulish"/>
          <w:sz w:val="22"/>
          <w:szCs w:val="22"/>
        </w:rPr>
        <w:t xml:space="preserve">Indien geen minnelijke oplossing wordt bereikt: voorlegging van het geschil aan de bevoegde rechter, met inschakeling van de rechtsbijstandsverzekering.</w:t>
      </w:r>
    </w:p>
    <w:p>
      <w:pPr>
        <w:pStyle w:val="ListParagraph"/>
        <w:numPr>
          <w:ilvl w:val="0"/>
          <w:numId w:val="3"/>
        </w:numPr>
        <w:spacing w:after="120" w:line="360"/>
      </w:pPr>
      <w:r>
        <w:rPr>
          <w:rFonts w:ascii="Mulish" w:cs="Mulish" w:eastAsia="Mulish" w:hAnsi="Mulish"/>
          <w:sz w:val="22"/>
          <w:szCs w:val="22"/>
        </w:rPr>
        <w:t xml:space="preserve">Overweging tot het instellen van een collectieve actie door of namens de bewonersverenigingen VHSW en Bestwil.</w:t>
      </w:r>
    </w:p>
    <w:p>
      <w:pPr>
        <w:pStyle w:val="ListParagraph"/>
        <w:numPr>
          <w:ilvl w:val="0"/>
          <w:numId w:val="3"/>
        </w:numPr>
        <w:spacing w:after="120" w:line="360"/>
      </w:pPr>
      <w:r>
        <w:rPr>
          <w:rFonts w:ascii="Mulish" w:cs="Mulish" w:eastAsia="Mulish" w:hAnsi="Mulish"/>
          <w:sz w:val="22"/>
          <w:szCs w:val="22"/>
        </w:rPr>
        <w:t xml:space="preserve">Overweging tot het indienen van een melding bij de Autoriteit Consument &amp; Markt (ACM) wegens mogelijk misbruik van economische machtspositie en/of oneerlijke handelspraktijken.</w:t>
      </w:r>
    </w:p>
    <w:p>
      <w:r>
        <w:br w:type="page"/>
      </w:r>
    </w:p>
    <w:p>
      <w:pPr>
        <w:pStyle w:val="Heading1"/>
        <w:pBdr>
          <w:bottom w:val="single" w:color="800000" w:sz="18" w:space="6"/>
        </w:pBdr>
        <w:spacing w:after="280" w:before="480"/>
      </w:pPr>
      <w:r>
        <w:rPr>
          <w:rFonts w:ascii="Poppins" w:cs="Poppins" w:eastAsia="Poppins" w:hAnsi="Poppins"/>
          <w:b/>
          <w:bCs/>
          <w:color w:val="800000"/>
          <w:sz w:val="40"/>
          <w:szCs w:val="40"/>
        </w:rPr>
        <w:t xml:space="preserve">F. Bijlagen</w:t>
      </w:r>
    </w:p>
    <w:p>
      <w:pPr>
        <w:spacing w:after="140" w:before="0" w:line="360"/>
      </w:pPr>
      <w:r>
        <w:rPr>
          <w:rFonts w:ascii="Mulish" w:cs="Mulish" w:eastAsia="Mulish" w:hAnsi="Mulish"/>
          <w:sz w:val="22"/>
          <w:szCs w:val="22"/>
        </w:rPr>
        <w:t xml:space="preserve">Bij dit dossier worden de volgende bijlagen verstrekt of door iedere individuele bewoner aangevuld.</w:t>
      </w:r>
    </w:p>
    <w:p>
      <w:pPr>
        <w:pStyle w:val="Heading2"/>
        <w:spacing w:after="180" w:before="320"/>
      </w:pPr>
      <w:r>
        <w:rPr>
          <w:rFonts w:ascii="Poppins" w:cs="Poppins" w:eastAsia="Poppins" w:hAnsi="Poppins"/>
          <w:b/>
          <w:bCs/>
          <w:color w:val="800000"/>
          <w:sz w:val="28"/>
          <w:szCs w:val="28"/>
        </w:rPr>
        <w:t xml:space="preserve">Bijlage 1  Voorbeeldbrief bezwaar (reclame)</w:t>
      </w:r>
    </w:p>
    <w:p>
      <w:pPr>
        <w:spacing w:after="140" w:before="0" w:line="360"/>
      </w:pPr>
      <w:r>
        <w:rPr>
          <w:rFonts w:ascii="Mulish" w:cs="Mulish" w:eastAsia="Mulish" w:hAnsi="Mulish"/>
          <w:sz w:val="22"/>
          <w:szCs w:val="22"/>
        </w:rPr>
        <w:t xml:space="preserve">Te versturen per e-mail aan info@stillewille.nl en bij voorkeur tevens per aangetekende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0000" w:sz="8" w:space="0"/>
              <w:left w:val="single" w:color="800000" w:sz="8" w:space="0"/>
              <w:bottom w:val="single" w:color="800000" w:sz="8" w:space="0"/>
              <w:right w:val="single" w:color="800000" w:sz="8" w:space="0"/>
            </w:tcBorders>
            <w:shd w:fill="FBF7F2" w:val="clear"/>
            <w:tcMar>
              <w:top w:type="dxa" w:w="360"/>
              <w:left w:type="dxa" w:w="400"/>
              <w:bottom w:type="dxa" w:w="360"/>
              <w:right w:type="dxa" w:w="400"/>
            </w:tcMar>
          </w:tcPr>
          <w:p>
            <w:pPr>
              <w:spacing w:after="80" w:before="0" w:line="360"/>
            </w:pPr>
            <w:r>
              <w:rPr>
                <w:rFonts w:ascii="Mulish" w:cs="Mulish" w:eastAsia="Mulish" w:hAnsi="Mulish"/>
                <w:b/>
                <w:bCs/>
                <w:color w:val="800000"/>
                <w:sz w:val="22"/>
                <w:szCs w:val="22"/>
              </w:rPr>
              <w:t xml:space="preserve">Aan:</w:t>
            </w:r>
          </w:p>
          <w:p>
            <w:pPr>
              <w:spacing w:after="40" w:before="0" w:line="360"/>
            </w:pPr>
            <w:r>
              <w:rPr>
                <w:rFonts w:ascii="Mulish" w:cs="Mulish" w:eastAsia="Mulish" w:hAnsi="Mulish"/>
                <w:sz w:val="22"/>
                <w:szCs w:val="22"/>
              </w:rPr>
              <w:t xml:space="preserve">Stille Wille Brabant B.V.</w:t>
            </w:r>
          </w:p>
          <w:p>
            <w:pPr>
              <w:spacing w:after="40" w:before="0" w:line="360"/>
            </w:pPr>
            <w:r>
              <w:rPr>
                <w:rFonts w:ascii="Mulish" w:cs="Mulish" w:eastAsia="Mulish" w:hAnsi="Mulish"/>
                <w:sz w:val="22"/>
                <w:szCs w:val="22"/>
              </w:rPr>
              <w:t xml:space="preserve">T.a.v. de Directie / Administratie</w:t>
            </w:r>
          </w:p>
          <w:p>
            <w:pPr>
              <w:spacing w:after="40" w:before="0" w:line="360"/>
            </w:pPr>
            <w:r>
              <w:rPr>
                <w:rFonts w:ascii="Mulish" w:cs="Mulish" w:eastAsia="Mulish" w:hAnsi="Mulish"/>
                <w:sz w:val="22"/>
                <w:szCs w:val="22"/>
              </w:rPr>
              <w:t xml:space="preserve">De Stille Wille 1</w:t>
            </w:r>
          </w:p>
          <w:p>
            <w:pPr>
              <w:spacing w:after="40" w:before="0" w:line="360"/>
            </w:pPr>
            <w:r>
              <w:rPr>
                <w:rFonts w:ascii="Mulish" w:cs="Mulish" w:eastAsia="Mulish" w:hAnsi="Mulish"/>
                <w:sz w:val="22"/>
                <w:szCs w:val="22"/>
              </w:rPr>
              <w:t xml:space="preserve">5091 WB Oost-, West- en Middelbeers</w:t>
            </w:r>
          </w:p>
          <w:p>
            <w:pPr>
              <w:spacing w:after="160" w:before="0" w:line="360"/>
            </w:pPr>
            <w:r>
              <w:rPr>
                <w:rFonts w:ascii="Mulish" w:cs="Mulish" w:eastAsia="Mulish" w:hAnsi="Mulish"/>
                <w:sz w:val="22"/>
                <w:szCs w:val="22"/>
              </w:rPr>
              <w:t xml:space="preserve">info@stillewille.nl</w:t>
            </w:r>
          </w:p>
          <w:p>
            <w:pPr>
              <w:spacing w:after="240" w:before="0" w:line="360"/>
            </w:pPr>
            <w:r>
              <w:rPr>
                <w:rFonts w:ascii="Mulish" w:cs="Mulish" w:eastAsia="Mulish" w:hAnsi="Mulish"/>
                <w:b/>
                <w:bCs/>
                <w:i/>
                <w:iCs/>
                <w:color w:val="800000"/>
                <w:sz w:val="22"/>
                <w:szCs w:val="22"/>
              </w:rPr>
              <w:t xml:space="preserve">Per e-mail en aangetekende post</w:t>
            </w:r>
          </w:p>
          <w:p>
            <w:pPr>
              <w:spacing w:after="40" w:before="0" w:line="360"/>
            </w:pPr>
            <w:r>
              <w:rPr>
                <w:rFonts w:ascii="Mulish" w:cs="Mulish" w:eastAsia="Mulish" w:hAnsi="Mulish"/>
                <w:b/>
                <w:bCs/>
                <w:sz w:val="22"/>
                <w:szCs w:val="22"/>
              </w:rPr>
              <w:t xml:space="preserve">Van: </w:t>
            </w:r>
            <w:r>
              <w:rPr>
                <w:rFonts w:ascii="Mulish" w:cs="Mulish" w:eastAsia="Mulish" w:hAnsi="Mulish"/>
                <w:i/>
                <w:iCs/>
                <w:sz w:val="22"/>
                <w:szCs w:val="22"/>
              </w:rPr>
              <w:t xml:space="preserve">[Uw naam], Stille Wille [huisnummer], [postcode en woonplaats]</w:t>
            </w:r>
          </w:p>
          <w:p>
            <w:pPr>
              <w:spacing w:after="40" w:before="0" w:line="360"/>
            </w:pPr>
            <w:r>
              <w:rPr>
                <w:rFonts w:ascii="Mulish" w:cs="Mulish" w:eastAsia="Mulish" w:hAnsi="Mulish"/>
                <w:b/>
                <w:bCs/>
                <w:sz w:val="22"/>
                <w:szCs w:val="22"/>
              </w:rPr>
              <w:t xml:space="preserve">Datum: </w:t>
            </w:r>
            <w:r>
              <w:rPr>
                <w:rFonts w:ascii="Mulish" w:cs="Mulish" w:eastAsia="Mulish" w:hAnsi="Mulish"/>
                <w:i/>
                <w:iCs/>
                <w:sz w:val="22"/>
                <w:szCs w:val="22"/>
              </w:rPr>
              <w:t xml:space="preserve">[datum van verzending]</w:t>
            </w:r>
          </w:p>
          <w:p>
            <w:pPr>
              <w:spacing w:after="240" w:before="0" w:line="360"/>
            </w:pPr>
            <w:r>
              <w:rPr>
                <w:rFonts w:ascii="Mulish" w:cs="Mulish" w:eastAsia="Mulish" w:hAnsi="Mulish"/>
                <w:b/>
                <w:bCs/>
                <w:sz w:val="22"/>
                <w:szCs w:val="22"/>
              </w:rPr>
              <w:t xml:space="preserve">Betreft: </w:t>
            </w:r>
            <w:r>
              <w:rPr>
                <w:rFonts w:ascii="Mulish" w:cs="Mulish" w:eastAsia="Mulish" w:hAnsi="Mulish"/>
                <w:b/>
                <w:bCs/>
                <w:i/>
                <w:iCs/>
                <w:sz w:val="22"/>
                <w:szCs w:val="22"/>
              </w:rPr>
              <w:t xml:space="preserve">Formeel bezwaar tegen factuur [factuurnummer] d.d. [factuurdatum] — gasafrekening 2024-2025</w:t>
            </w:r>
          </w:p>
          <w:p>
            <w:pPr>
              <w:spacing w:after="160" w:before="0" w:line="360"/>
            </w:pPr>
            <w:r>
              <w:rPr>
                <w:rFonts w:ascii="Mulish" w:cs="Mulish" w:eastAsia="Mulish" w:hAnsi="Mulish"/>
                <w:sz w:val="22"/>
                <w:szCs w:val="22"/>
              </w:rPr>
              <w:t xml:space="preserve">Geachte directie,</w:t>
            </w:r>
          </w:p>
          <w:p>
            <w:pPr>
              <w:spacing w:after="140" w:before="0" w:line="360"/>
            </w:pPr>
            <w:r>
              <w:rPr>
                <w:rFonts w:ascii="Mulish" w:cs="Mulish" w:eastAsia="Mulish" w:hAnsi="Mulish"/>
                <w:sz w:val="22"/>
                <w:szCs w:val="22"/>
              </w:rPr>
              <w:t xml:space="preserve">Hierbij maak ik, conform artikel 15.1 van de Exploitatieovereenkomst, formeel bezwaar tegen de factuur met kenmerk [factuurnummer] d.d. [factuurdatum], inzake de afrekening en naheffing van het gasverbruik over de periode 2024-2025.</w:t>
            </w:r>
          </w:p>
          <w:p>
            <w:pPr>
              <w:spacing w:after="140" w:before="0" w:line="360"/>
            </w:pPr>
            <w:r>
              <w:rPr>
                <w:rFonts w:ascii="Mulish" w:cs="Mulish" w:eastAsia="Mulish" w:hAnsi="Mulish"/>
                <w:sz w:val="22"/>
                <w:szCs w:val="22"/>
              </w:rPr>
              <w:t xml:space="preserve">Mijn bezwaar richt zich op drie aspecten van deze factuur: de </w:t>
            </w:r>
            <w:r>
              <w:rPr>
                <w:rFonts w:ascii="Mulish" w:cs="Mulish" w:eastAsia="Mulish" w:hAnsi="Mulish"/>
                <w:b/>
                <w:bCs/>
                <w:sz w:val="22"/>
                <w:szCs w:val="22"/>
              </w:rPr>
              <w:t xml:space="preserve">basisprijs van € 5,55 per m³</w:t>
            </w:r>
            <w:r>
              <w:rPr>
                <w:rFonts w:ascii="Mulish" w:cs="Mulish" w:eastAsia="Mulish" w:hAnsi="Mulish"/>
                <w:sz w:val="22"/>
                <w:szCs w:val="22"/>
              </w:rPr>
              <w:t xml:space="preserve"> waartegen mijn gemeten verbruik van [verbruik] m³ in rekening is gebracht, de </w:t>
            </w:r>
            <w:r>
              <w:rPr>
                <w:rFonts w:ascii="Mulish" w:cs="Mulish" w:eastAsia="Mulish" w:hAnsi="Mulish"/>
                <w:b/>
                <w:bCs/>
                <w:sz w:val="22"/>
                <w:szCs w:val="22"/>
              </w:rPr>
              <w:t xml:space="preserve">naheffing van € 1,95 per m³</w:t>
            </w:r>
            <w:r>
              <w:rPr>
                <w:rFonts w:ascii="Mulish" w:cs="Mulish" w:eastAsia="Mulish" w:hAnsi="Mulish"/>
                <w:sz w:val="22"/>
                <w:szCs w:val="22"/>
              </w:rPr>
              <w:t xml:space="preserve"> die in deze prijs is verdisconteerd, alsmede de </w:t>
            </w:r>
            <w:r>
              <w:rPr>
                <w:rFonts w:ascii="Mulish" w:cs="Mulish" w:eastAsia="Mulish" w:hAnsi="Mulish"/>
                <w:b/>
                <w:bCs/>
                <w:sz w:val="22"/>
                <w:szCs w:val="22"/>
              </w:rPr>
              <w:t xml:space="preserve">fors verhoogde maandelijkse voorschotnota</w:t>
            </w:r>
            <w:r>
              <w:rPr>
                <w:rFonts w:ascii="Mulish" w:cs="Mulish" w:eastAsia="Mulish" w:hAnsi="Mulish"/>
                <w:sz w:val="22"/>
                <w:szCs w:val="22"/>
              </w:rPr>
              <w:t xml:space="preserve"> die ingaande deze afrekenperiode wordt gehanteerd.</w:t>
            </w:r>
          </w:p>
          <w:p>
            <w:pPr>
              <w:spacing w:after="140" w:before="0" w:line="360"/>
            </w:pPr>
            <w:r>
              <w:rPr>
                <w:rFonts w:ascii="Mulish" w:cs="Mulish" w:eastAsia="Mulish" w:hAnsi="Mulish"/>
                <w:sz w:val="22"/>
                <w:szCs w:val="22"/>
              </w:rPr>
              <w:t xml:space="preserve">Uit uw begeleidende schrijven blijkt dat u een exploitatietekort van € 36.797,48 — veroorzaakt door eerdere niet-geboekte inkoopfacturen en hoge netwerkverliezen — eenzijdig heeft omgeslagen over de 22.784 m³ gas die is verbruikt door de momenteel overgebleven gasgebruikers. Dit leidt tot een onredelijke toeslag van € 1,95 per verbruikte kubieke meter, bovenop een basisprijs die naar mijn beoordeling eveneens fors boven marktniveau ligt. De verhoging van het maandelijkse voorschotbedrag verankert deze tariefstructuur bovendien voor de toekomst, los van enige toekomstige administratieve correctie en los van de werkelijke marktprijs van propaangas.</w:t>
            </w:r>
          </w:p>
          <w:p>
            <w:pPr>
              <w:spacing w:after="140" w:before="0" w:line="360"/>
            </w:pPr>
            <w:r>
              <w:rPr>
                <w:rFonts w:ascii="Mulish" w:cs="Mulish" w:eastAsia="Mulish" w:hAnsi="Mulish"/>
                <w:sz w:val="22"/>
                <w:szCs w:val="22"/>
              </w:rPr>
              <w:t xml:space="preserve">Ik teken nadrukkelijk bezwaar aan tegen deze berekeningsmethode en het afwentelen van deze kosten op mijn individuele factuur. Mijn juridische argumenten — in volgorde van zwaarte — zijn als volgt:</w:t>
            </w:r>
          </w:p>
          <w:p>
            <w:pPr>
              <w:pStyle w:val="ListParagraph"/>
              <w:numPr>
                <w:ilvl w:val="0"/>
                <w:numId w:val="3"/>
              </w:numPr>
              <w:spacing w:after="120" w:line="360"/>
            </w:pPr>
            <w:r>
              <w:rPr>
                <w:rFonts w:ascii="Mulish" w:cs="Mulish" w:eastAsia="Mulish" w:hAnsi="Mulish"/>
                <w:b/>
                <w:bCs/>
                <w:color w:val="800000"/>
                <w:sz w:val="22"/>
                <w:szCs w:val="22"/>
              </w:rPr>
              <w:t xml:space="preserve">Gedwongen afname zonder marktwerking. </w:t>
            </w:r>
            <w:r>
              <w:rPr>
                <w:rFonts w:ascii="Mulish" w:cs="Mulish" w:eastAsia="Mulish" w:hAnsi="Mulish"/>
                <w:sz w:val="22"/>
                <w:szCs w:val="22"/>
              </w:rPr>
              <w:t xml:space="preserve">Ik ben op grond van artikel 6.4 en artikel 7.11 van de Exploitatieovereenkomst, alsmede artikel 15b van de Algemene Bepalingen van de Erfpacht, contractueel verplicht uitsluitend gas af te nemen van SWB via het bestaande gasleidingnet. Het is mij uitdrukkelijk verboden zelf een gastank te plaatsen of gas van een derde te betrekken. Deze gedwongen winkelnering plaatst SWB feitelijk in een monopoliepositie ten opzichte van de gasverbruikende bewoners. Aan een dergelijke positie zijn naar maatstaven van redelijkheid en billijkheid (art. 6:248 lid 2 BW) verplichtingen verbonden: in het bijzonder de plicht een tarief te hanteren dat aantoonbaar marktconform is, een transparante opbouw kent en niet eenzijdig kan worden bezwaard met de gevolgen van administratieve fouten of infrastructureel falen aan de zijde van de exploitant of grondeigenaar.</w:t>
            </w:r>
          </w:p>
          <w:p>
            <w:pPr>
              <w:pStyle w:val="ListParagraph"/>
              <w:numPr>
                <w:ilvl w:val="0"/>
                <w:numId w:val="3"/>
              </w:numPr>
              <w:spacing w:after="120" w:line="360"/>
            </w:pPr>
            <w:r>
              <w:rPr>
                <w:rFonts w:ascii="Mulish" w:cs="Mulish" w:eastAsia="Mulish" w:hAnsi="Mulish"/>
                <w:b/>
                <w:bCs/>
                <w:color w:val="800000"/>
                <w:sz w:val="22"/>
                <w:szCs w:val="22"/>
              </w:rPr>
              <w:t xml:space="preserve">Vervangingsplicht LSW. </w:t>
            </w:r>
            <w:r>
              <w:rPr>
                <w:rFonts w:ascii="Mulish" w:cs="Mulish" w:eastAsia="Mulish" w:hAnsi="Mulish"/>
                <w:sz w:val="22"/>
                <w:szCs w:val="22"/>
              </w:rPr>
              <w:t xml:space="preserve">In de arresten van het Gerechtshof 's-Hertogenbosch (ECLI:NL:GHSHE:2013:3708 en ECLI:NL:GHSHE:2014:3639) is vastgelegd dat de kosten voor de grootschalige vervanging van het verouderde gasnetwerk voor rekening komen van de grondeigenaar (LSW) en niet via de exploitatie aan de bewoners mogen worden doorberekend.</w:t>
            </w:r>
          </w:p>
          <w:p>
            <w:pPr>
              <w:pStyle w:val="ListParagraph"/>
              <w:numPr>
                <w:ilvl w:val="0"/>
                <w:numId w:val="3"/>
              </w:numPr>
              <w:spacing w:after="120" w:line="360"/>
            </w:pPr>
            <w:r>
              <w:rPr>
                <w:rFonts w:ascii="Mulish" w:cs="Mulish" w:eastAsia="Mulish" w:hAnsi="Mulish"/>
                <w:b/>
                <w:bCs/>
                <w:color w:val="800000"/>
                <w:sz w:val="22"/>
                <w:szCs w:val="22"/>
              </w:rPr>
              <w:t xml:space="preserve">Nalatigheid eigenaar inzake lekverliezen. </w:t>
            </w:r>
            <w:r>
              <w:rPr>
                <w:rFonts w:ascii="Mulish" w:cs="Mulish" w:eastAsia="Mulish" w:hAnsi="Mulish"/>
                <w:sz w:val="22"/>
                <w:szCs w:val="22"/>
              </w:rPr>
              <w:t xml:space="preserve">Doordat de landgoedeigenaar nalaat dit netwerk tijdig te vernieuwen, ontstaan de hoge weglekverliezen. Het structurele verlies van circa 35% is reeds in 2020 cijfermatig onderbouwd in het Onderzoeksverslag naar de ontwikkeling van de gasprijs op het landgoed Stille Wille (Breedveld/Schoenmaker, juni 2020), dat in overleg met de toenmalige directie van SWB tot stand is gekomen. Het is onrechtmatig om de inkoopkosten voor dit weggelekte gas via een m³-toeslag af te wentelen op mij als bewoner, temeer daar ik contractueel gebonden ben aan verplichte afname via dit gebrekkige netwerk.</w:t>
            </w:r>
          </w:p>
          <w:p>
            <w:pPr>
              <w:pStyle w:val="ListParagraph"/>
              <w:numPr>
                <w:ilvl w:val="0"/>
                <w:numId w:val="3"/>
              </w:numPr>
              <w:spacing w:after="120" w:line="360"/>
            </w:pPr>
            <w:r>
              <w:rPr>
                <w:rFonts w:ascii="Mulish" w:cs="Mulish" w:eastAsia="Mulish" w:hAnsi="Mulish"/>
                <w:b/>
                <w:bCs/>
                <w:color w:val="800000"/>
                <w:sz w:val="22"/>
                <w:szCs w:val="22"/>
              </w:rPr>
              <w:t xml:space="preserve">Willekeurige en onredelijke omslag — betalen voor vertrokken derden. </w:t>
            </w:r>
            <w:r>
              <w:rPr>
                <w:rFonts w:ascii="Mulish" w:cs="Mulish" w:eastAsia="Mulish" w:hAnsi="Mulish"/>
                <w:sz w:val="22"/>
                <w:szCs w:val="22"/>
              </w:rPr>
              <w:t xml:space="preserve">Het verdelen van een exploitatietekort uit het verleden over uitsluitend de huidige groep gasgebruikers is volstrekt willekeurig en onrechtmatig. Bewoners die in de periode 2024 tot en met april 2025 hun woning hebben verkocht en het landgoed hebben verlaten, zijn destijds afgerekend op basis van een foutieve, te lage administratie. Door het pas later ontdekte tekort nu te delen over uitsluitend de verbruikte kubieke meters van de overgebleven gasgebruikers, dwingt u mij te betalen voor het daadwerkelijke gasverbruik van inmiddels vertrokken derden. Administratief falen uit het verleden mag niet via een dergelijke willekeurige verdeelsleutel op de overgebleven bewoners worden afgewenteld; dat valt naar maatstaven van redelijkheid en billijkheid (art. 6:248 lid 2 BW) buiten de grenzen van wat een exploitant van haar afnemers kan verlangen.</w:t>
            </w:r>
          </w:p>
          <w:p>
            <w:pPr>
              <w:pStyle w:val="ListParagraph"/>
              <w:numPr>
                <w:ilvl w:val="0"/>
                <w:numId w:val="3"/>
              </w:numPr>
              <w:spacing w:after="120" w:line="360"/>
            </w:pPr>
            <w:r>
              <w:rPr>
                <w:rFonts w:ascii="Mulish" w:cs="Mulish" w:eastAsia="Mulish" w:hAnsi="Mulish"/>
                <w:b/>
                <w:bCs/>
                <w:color w:val="800000"/>
                <w:sz w:val="22"/>
                <w:szCs w:val="22"/>
              </w:rPr>
              <w:t xml:space="preserve">Structurele verankering bovenmarktconform tarief via nieuw voorschot. </w:t>
            </w:r>
            <w:r>
              <w:rPr>
                <w:rFonts w:ascii="Mulish" w:cs="Mulish" w:eastAsia="Mulish" w:hAnsi="Mulish"/>
                <w:sz w:val="22"/>
                <w:szCs w:val="22"/>
              </w:rPr>
              <w:t xml:space="preserve">Naast de eenmalige naheffing heeft u tegelijkertijd het maandelijkse voorschotbedrag fors verhoogd. Daarmee wordt het tarief van € 5,55 per m³ structureel verankerd voor de toekomst — los van de eenmalige correctie, los van enige toekomstige administratieve fout, los van de werkelijke marktprijs van propaangas, en los van de lekverliezen die alleen door vervanging van het leidingnet door de grondeigenaar kunnen verdwijnen. Een dergelijke structurele tariefverhoging op een contractueel afgedwongen monopolie, zonder enige onderbouwing en zonder aanwijsbare reële kostentoename, is naar maatstaven van redelijkheid en billijkheid evenzeer onaanvaardbaar.</w:t>
            </w:r>
          </w:p>
          <w:p>
            <w:pPr>
              <w:pStyle w:val="ListParagraph"/>
              <w:numPr>
                <w:ilvl w:val="0"/>
                <w:numId w:val="3"/>
              </w:numPr>
              <w:spacing w:after="120" w:line="360"/>
            </w:pPr>
            <w:r>
              <w:rPr>
                <w:rFonts w:ascii="Mulish" w:cs="Mulish" w:eastAsia="Mulish" w:hAnsi="Mulish"/>
                <w:b/>
                <w:bCs/>
                <w:color w:val="800000"/>
                <w:sz w:val="22"/>
                <w:szCs w:val="22"/>
              </w:rPr>
              <w:t xml:space="preserve">Tarief boven marktniveau. </w:t>
            </w:r>
            <w:r>
              <w:rPr>
                <w:rFonts w:ascii="Mulish" w:cs="Mulish" w:eastAsia="Mulish" w:hAnsi="Mulish"/>
                <w:sz w:val="22"/>
                <w:szCs w:val="22"/>
              </w:rPr>
              <w:t xml:space="preserve">De marktconforme prijs voor propaangas bedraagt in 2026 bij Nederlandse leveranciers (Antargaz, Benegas, Tankgas) tussen € 0,80 en € 0,95 per liter vloeibaar propaan, inclusief BTW. Omgerekend correspondeert dit met een prijs van circa € 3,00 tot € 3,50 per m³ gasvormig propaan. Het door SWB gehanteerde tarief van € 5,55 per m³ ligt daarmee 60 tot 85 procent boven marktniveau — een verschil dat ook na verrekening van de gestelde lekverliezen van circa 35% niet volledig wordt verklaard. Dat dit verschil binnen een vrije markt eventueel toelaatbaar zou zijn, doet hier niet ter zake: gelet op de in punt 1 beschreven contractueel afgedwongen monopoliepositie en het ontbreken van enige uitwijkmogelijkheid voor de bewoner, geldt een strengere toetsing.</w:t>
            </w:r>
          </w:p>
          <w:p>
            <w:pPr>
              <w:pStyle w:val="ListParagraph"/>
              <w:numPr>
                <w:ilvl w:val="0"/>
                <w:numId w:val="3"/>
              </w:numPr>
              <w:spacing w:after="120" w:line="360"/>
            </w:pPr>
            <w:r>
              <w:rPr>
                <w:rFonts w:ascii="Mulish" w:cs="Mulish" w:eastAsia="Mulish" w:hAnsi="Mulish"/>
                <w:b/>
                <w:bCs/>
                <w:color w:val="800000"/>
                <w:sz w:val="22"/>
                <w:szCs w:val="22"/>
              </w:rPr>
              <w:t xml:space="preserve">Mogelijk misbruik economische machtspositie (art. 24 Mededingingswet). </w:t>
            </w:r>
            <w:r>
              <w:rPr>
                <w:rFonts w:ascii="Mulish" w:cs="Mulish" w:eastAsia="Mulish" w:hAnsi="Mulish"/>
                <w:sz w:val="22"/>
                <w:szCs w:val="22"/>
              </w:rPr>
              <w:t xml:space="preserve">De Mededingingswet verbiedt het misbruik van een economische machtspositie, waaronder uitdrukkelijk het hanteren van excessieve, niet door kostenstructuur gerechtvaardigde prijzen valt. De Rechtbank Rotterdam heeft dit kader bevestigd in haar uitspraak van 13 februari 2025 (ECLI:NL:RBROT:2025:1811, Leadiant/ACM). Gelet op de combinatie van (a) een door uzelf contractueel afgedwongen exclusiviteit van afname, (b) een tarief dat aantoonbaar fors boven marktniveau ligt, en (c) het ontbreken van een transparante onderbouwing van dit tarief, behoud ik mij het recht voor een melding bij de Autoriteit Consument &amp; Markt (ACM) te overwegen.</w:t>
            </w:r>
          </w:p>
          <w:p>
            <w:pPr>
              <w:pStyle w:val="ListParagraph"/>
              <w:numPr>
                <w:ilvl w:val="0"/>
                <w:numId w:val="3"/>
              </w:numPr>
              <w:spacing w:after="120" w:line="360"/>
            </w:pPr>
            <w:r>
              <w:rPr>
                <w:rFonts w:ascii="Mulish" w:cs="Mulish" w:eastAsia="Mulish" w:hAnsi="Mulish"/>
                <w:b/>
                <w:bCs/>
                <w:color w:val="800000"/>
                <w:sz w:val="22"/>
                <w:szCs w:val="22"/>
              </w:rPr>
              <w:t xml:space="preserve">Mogelijk oneerlijke handelspraktijk (art. 6:193a e.v. BW). </w:t>
            </w:r>
            <w:r>
              <w:rPr>
                <w:rFonts w:ascii="Mulish" w:cs="Mulish" w:eastAsia="Mulish" w:hAnsi="Mulish"/>
                <w:sz w:val="22"/>
                <w:szCs w:val="22"/>
              </w:rPr>
              <w:t xml:space="preserve">De Wet Oneerlijke Handelspraktijken verbiedt onder meer het weglaten van essentiële prijsinformatie waardoor de consument achteraf met onverwachte kosten wordt geconfronteerd (misleidende omissie, art. 6:193d BW). Het feit dat SWB pas in 2026 — met terugwerkende kracht — een naheffing oplegt voor reeds afgesloten en afgerekende verbruiksperioden, en dat zonder een vooraf transparant gemaakte opbouw van de m³-prijs of het nieuwe voorschotbedrag, kan onder dit kader vallen.</w:t>
            </w:r>
          </w:p>
          <w:p>
            <w:pPr>
              <w:spacing w:after="120" w:before="200" w:line="360"/>
            </w:pPr>
            <w:r>
              <w:rPr>
                <w:rFonts w:ascii="Mulish" w:cs="Mulish" w:eastAsia="Mulish" w:hAnsi="Mulish"/>
                <w:b/>
                <w:bCs/>
                <w:color w:val="800000"/>
                <w:sz w:val="24"/>
                <w:szCs w:val="24"/>
              </w:rPr>
              <w:t xml:space="preserve">Verzoek tot specificatie</w:t>
            </w:r>
          </w:p>
          <w:p>
            <w:pPr>
              <w:spacing w:after="140" w:before="0" w:line="360"/>
            </w:pPr>
            <w:r>
              <w:rPr>
                <w:rFonts w:ascii="Mulish" w:cs="Mulish" w:eastAsia="Mulish" w:hAnsi="Mulish"/>
                <w:sz w:val="22"/>
                <w:szCs w:val="22"/>
              </w:rPr>
              <w:t xml:space="preserve">Ik verzoek u, ter beoordeling van de redelijkheid en de mate van marktconformiteit van uw tarief, schriftelijk te onderbouwen:</w:t>
            </w:r>
          </w:p>
          <w:p>
            <w:pPr>
              <w:pStyle w:val="ListParagraph"/>
              <w:numPr>
                <w:ilvl w:val="0"/>
                <w:numId w:val="4"/>
              </w:numPr>
              <w:spacing w:after="100" w:line="360"/>
            </w:pPr>
            <w:r>
              <w:rPr>
                <w:rFonts w:ascii="Mulish" w:cs="Mulish" w:eastAsia="Mulish" w:hAnsi="Mulish"/>
                <w:sz w:val="22"/>
                <w:szCs w:val="22"/>
              </w:rPr>
              <w:t xml:space="preserve">de inkoopprijs per liter vloeibaar propaan die SWB in 2024 en 2025 heeft betaald aan Benegas;</w:t>
            </w:r>
          </w:p>
          <w:p>
            <w:pPr>
              <w:pStyle w:val="ListParagraph"/>
              <w:numPr>
                <w:ilvl w:val="0"/>
                <w:numId w:val="4"/>
              </w:numPr>
              <w:spacing w:after="100" w:line="360"/>
            </w:pPr>
            <w:r>
              <w:rPr>
                <w:rFonts w:ascii="Mulish" w:cs="Mulish" w:eastAsia="Mulish" w:hAnsi="Mulish"/>
                <w:sz w:val="22"/>
                <w:szCs w:val="22"/>
              </w:rPr>
              <w:t xml:space="preserve">de gehanteerde omrekenfactor van liter vloeibaar propaan naar m³ op de woningmeter;</w:t>
            </w:r>
          </w:p>
          <w:p>
            <w:pPr>
              <w:pStyle w:val="ListParagraph"/>
              <w:numPr>
                <w:ilvl w:val="0"/>
                <w:numId w:val="4"/>
              </w:numPr>
              <w:spacing w:after="100" w:line="360"/>
            </w:pPr>
            <w:r>
              <w:rPr>
                <w:rFonts w:ascii="Mulish" w:cs="Mulish" w:eastAsia="Mulish" w:hAnsi="Mulish"/>
                <w:sz w:val="22"/>
                <w:szCs w:val="22"/>
              </w:rPr>
              <w:t xml:space="preserve">de volledige opbouw van het tarief van € 5,55 per m³, uitgesplitst in inkoop, transport en tankhuur, lekverlies, administratiekosten, en eventuele marge of opslag voor overige posten;</w:t>
            </w:r>
          </w:p>
          <w:p>
            <w:pPr>
              <w:pStyle w:val="ListParagraph"/>
              <w:numPr>
                <w:ilvl w:val="0"/>
                <w:numId w:val="4"/>
              </w:numPr>
              <w:spacing w:after="100" w:line="360"/>
            </w:pPr>
            <w:r>
              <w:rPr>
                <w:rFonts w:ascii="Mulish" w:cs="Mulish" w:eastAsia="Mulish" w:hAnsi="Mulish"/>
                <w:sz w:val="22"/>
                <w:szCs w:val="22"/>
              </w:rPr>
              <w:t xml:space="preserve">de berekening waaruit blijkt hoe het tekort van € 36.797,48 tot stand komt, met onderliggende kopieën van de twee nagekomen Benegas-facturen en de tankhuurnota;</w:t>
            </w:r>
          </w:p>
          <w:p>
            <w:pPr>
              <w:pStyle w:val="ListParagraph"/>
              <w:numPr>
                <w:ilvl w:val="0"/>
                <w:numId w:val="4"/>
              </w:numPr>
              <w:spacing w:after="160" w:line="360"/>
            </w:pPr>
            <w:r>
              <w:rPr>
                <w:rFonts w:ascii="Mulish" w:cs="Mulish" w:eastAsia="Mulish" w:hAnsi="Mulish"/>
                <w:sz w:val="22"/>
                <w:szCs w:val="22"/>
              </w:rPr>
              <w:t xml:space="preserve">de berekening en onderbouwing van het nieuwe maandelijkse voorschotbedrag, met vermelding van de gehanteerde m³-prijs, de geraamde jaarafname en eventuele overige componenten.</w:t>
            </w:r>
          </w:p>
          <w:p>
            <w:pPr>
              <w:spacing w:after="120" w:before="200" w:line="360"/>
            </w:pPr>
            <w:r>
              <w:rPr>
                <w:rFonts w:ascii="Mulish" w:cs="Mulish" w:eastAsia="Mulish" w:hAnsi="Mulish"/>
                <w:b/>
                <w:bCs/>
                <w:color w:val="800000"/>
                <w:sz w:val="24"/>
                <w:szCs w:val="24"/>
              </w:rPr>
              <w:t xml:space="preserve">Conclusie en verzoek</w:t>
            </w:r>
          </w:p>
          <w:p>
            <w:pPr>
              <w:spacing w:after="140" w:before="0" w:line="360"/>
            </w:pPr>
            <w:r>
              <w:rPr>
                <w:rFonts w:ascii="Mulish" w:cs="Mulish" w:eastAsia="Mulish" w:hAnsi="Mulish"/>
                <w:sz w:val="22"/>
                <w:szCs w:val="22"/>
              </w:rPr>
              <w:t xml:space="preserve">Ik ben bereid de kosten voor mijn daadwerkelijke, gemeten gasverbruik tegen een marktconform propaantarief te betalen, mits correct en vrij van andermans verbruik of lekkages berekend. Ik weiger op te draaien voor administratief falen enerzijds en voor de gevolgen van het uitblijven van vervanging van het defecte netwerk anderzijds.</w:t>
            </w:r>
          </w:p>
          <w:p>
            <w:pPr>
              <w:spacing w:after="140" w:before="0" w:line="360"/>
            </w:pPr>
            <w:r>
              <w:rPr>
                <w:rFonts w:ascii="Mulish" w:cs="Mulish" w:eastAsia="Mulish" w:hAnsi="Mulish"/>
                <w:sz w:val="22"/>
                <w:szCs w:val="22"/>
              </w:rPr>
              <w:t xml:space="preserve">Ik verzoek u deze factuur te herzien en het nieuwe maandelijkse voorschotbedrag terug te brengen tot een niveau dat past bij een marktconforme propaanprijs en mijn werkelijke jaarafname. In afwachting van uw inhoudelijke, schriftelijke reactie en de gevraagde specificatie schort ik zowel de betaling van deze factuur als de incasso van het verhoogde voorschotbedrag op en verzoek ik u tot incasso van geen van beide over te gaan; voor zover SWB toch tot incasso overgaat, zal ik deze storneren en behoud ik mij alle rechten voor.</w:t>
            </w:r>
          </w:p>
          <w:p>
            <w:pPr>
              <w:spacing w:after="140" w:before="0" w:line="360"/>
            </w:pPr>
            <w:r>
              <w:rPr>
                <w:rFonts w:ascii="Mulish" w:cs="Mulish" w:eastAsia="Mulish" w:hAnsi="Mulish"/>
                <w:sz w:val="22"/>
                <w:szCs w:val="22"/>
              </w:rPr>
              <w:t xml:space="preserve">Ik verzoek u </w:t>
            </w:r>
            <w:r>
              <w:rPr>
                <w:rFonts w:ascii="Mulish" w:cs="Mulish" w:eastAsia="Mulish" w:hAnsi="Mulish"/>
                <w:b/>
                <w:bCs/>
                <w:sz w:val="22"/>
                <w:szCs w:val="22"/>
              </w:rPr>
              <w:t xml:space="preserve">binnen veertien dagen na dagtekening</w:t>
            </w:r>
            <w:r>
              <w:rPr>
                <w:rFonts w:ascii="Mulish" w:cs="Mulish" w:eastAsia="Mulish" w:hAnsi="Mulish"/>
                <w:sz w:val="22"/>
                <w:szCs w:val="22"/>
              </w:rPr>
              <w:t xml:space="preserve"> van deze brief schriftelijk te reageren. Bij uitblijven van een inhoudelijke reactie binnen die termijn, of bij een reactie die de gevraagde specificatie niet bevat, zal ik mijn rechtsbijstandsverzekeraar inschakelen en, afhankelijk van de aard van uw reactie, melding overwegen bij de ACM.</w:t>
            </w:r>
          </w:p>
          <w:p>
            <w:pPr>
              <w:spacing w:after="200" w:before="0" w:line="360"/>
            </w:pPr>
            <w:r>
              <w:rPr>
                <w:rFonts w:ascii="Mulish" w:cs="Mulish" w:eastAsia="Mulish" w:hAnsi="Mulish"/>
                <w:sz w:val="22"/>
                <w:szCs w:val="22"/>
              </w:rPr>
              <w:t xml:space="preserve">Met vriendelijke groet,</w:t>
            </w:r>
          </w:p>
          <w:p>
            <w:pPr>
              <w:spacing w:after="40" w:before="0" w:line="360"/>
            </w:pPr>
            <w:r>
              <w:rPr>
                <w:rFonts w:ascii="Mulish" w:cs="Mulish" w:eastAsia="Mulish" w:hAnsi="Mulish"/>
                <w:sz w:val="22"/>
                <w:szCs w:val="22"/>
              </w:rPr>
              <w:t xml:space="preserve">[Uw naam]</w:t>
            </w:r>
          </w:p>
        </w:tc>
      </w:tr>
    </w:tbl>
    <w:p>
      <w:r>
        <w:br w:type="page"/>
      </w:r>
    </w:p>
    <w:p>
      <w:pPr>
        <w:pStyle w:val="Heading2"/>
        <w:spacing w:after="180" w:before="320"/>
      </w:pPr>
      <w:r>
        <w:rPr>
          <w:rFonts w:ascii="Poppins" w:cs="Poppins" w:eastAsia="Poppins" w:hAnsi="Poppins"/>
          <w:b/>
          <w:bCs/>
          <w:color w:val="800000"/>
          <w:sz w:val="28"/>
          <w:szCs w:val="28"/>
        </w:rPr>
        <w:t xml:space="preserve">Bijlage 2  Letterlijke citaten arresten Hof 's-Hertogenbosch</w:t>
      </w:r>
    </w:p>
    <w:p>
      <w:pPr>
        <w:spacing w:after="140" w:before="0" w:line="360"/>
      </w:pPr>
      <w:r>
        <w:rPr>
          <w:rFonts w:ascii="Mulish" w:cs="Mulish" w:eastAsia="Mulish" w:hAnsi="Mulish"/>
          <w:i/>
          <w:iCs/>
          <w:color w:val="555555"/>
          <w:sz w:val="22"/>
          <w:szCs w:val="22"/>
        </w:rPr>
        <w:t xml:space="preserve">Bron: rechtspraak.nl, ECLI:NL:GHSHE:2013:3708 (tussenarrest) en ECLI:NL:GHSHE:2014:3639 (eindarrest).</w:t>
      </w:r>
    </w:p>
    <w:p>
      <w:pPr>
        <w:pStyle w:val="Heading3"/>
        <w:spacing w:after="120" w:before="220"/>
      </w:pPr>
      <w:r>
        <w:rPr>
          <w:rFonts w:ascii="Poppins" w:cs="Poppins" w:eastAsia="Poppins" w:hAnsi="Poppins"/>
          <w:b/>
          <w:bCs/>
          <w:color w:val="333333"/>
          <w:sz w:val="24"/>
          <w:szCs w:val="24"/>
        </w:rPr>
        <w:t xml:space="preserve">R.o. 5.13.9 (tussenarrest 2013)</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Het lag bij deze stand van zaken, indien DJB meende dat ook de kosten van vervanging voor rekening van SWM (dus niet voor rekening van haar, DJB), en daarmee in voorkomend geval voor rekening van de bewoners behoorden te komen, op de weg van DJB om zulks uitdrukkelijk te doen opnemen. Dat is niet gebeurd. (…) Daarmee moet ervan worden uitgegaan dat de verdeling van kosten in de AB ertoe leidt dat die kosten van vervanging voor rekening van DJB komen.</w:t>
      </w:r>
    </w:p>
    <w:p>
      <w:pPr>
        <w:pStyle w:val="Heading3"/>
        <w:spacing w:after="120" w:before="220"/>
      </w:pPr>
      <w:r>
        <w:rPr>
          <w:rFonts w:ascii="Poppins" w:cs="Poppins" w:eastAsia="Poppins" w:hAnsi="Poppins"/>
          <w:b/>
          <w:bCs/>
          <w:color w:val="333333"/>
          <w:sz w:val="24"/>
          <w:szCs w:val="24"/>
        </w:rPr>
        <w:t xml:space="preserve">R.o. 5.13.10 (tussenarrest 2013)</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Het hof komt dus tot de slotsom, dat in de oude situatie (…) de kosten van vervanging van het gasnet en het waterleidingnet niet voor rekening van SWM, doch voor rekening van DJB zouden blijven. (…) dat betekent dit dat de kosten van vervanging van het gasnet niet door middel van een bepaling in de nieuw te sluiten overeenkomst voor rekening van de erfpachters kunnen worden gebracht.</w:t>
      </w:r>
    </w:p>
    <w:p>
      <w:pPr>
        <w:pStyle w:val="Heading2"/>
        <w:spacing w:after="180" w:before="320"/>
      </w:pPr>
      <w:r>
        <w:rPr>
          <w:rFonts w:ascii="Poppins" w:cs="Poppins" w:eastAsia="Poppins" w:hAnsi="Poppins"/>
          <w:b/>
          <w:bCs/>
          <w:color w:val="800000"/>
          <w:sz w:val="28"/>
          <w:szCs w:val="28"/>
        </w:rPr>
        <w:t xml:space="preserve">Bijlage 3  Artikelen Exploitatieovereenkomst en AB Erfpacht</w:t>
      </w:r>
    </w:p>
    <w:p>
      <w:pPr>
        <w:pStyle w:val="Heading3"/>
        <w:spacing w:after="120" w:before="220"/>
      </w:pPr>
      <w:r>
        <w:rPr>
          <w:rFonts w:ascii="Poppins" w:cs="Poppins" w:eastAsia="Poppins" w:hAnsi="Poppins"/>
          <w:b/>
          <w:bCs/>
          <w:color w:val="333333"/>
          <w:sz w:val="24"/>
          <w:szCs w:val="24"/>
        </w:rPr>
        <w:t xml:space="preserve">Artikel 6.4 Exploitatieovereenkomst — Verplichte afname gas</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Uit veiligheidsoverwegingen mag de Eigenaar respectievelijk Erfpachter water en gas uitsluitend afnemen van de Exploitant via het aanwezige veilige en goedgekeurde water- en gasleidingnet. Het is in het belang van de algehele (brand)veiligheid op Landgoed De Stille Wille uitdrukkelijk niet toegestaan dat de Eigenaar respectievelijk Erfpachter zelf een gastank op het door hem in gebruik zijnde perceel plaatst dan wel laat plaatsen.</w:t>
      </w:r>
    </w:p>
    <w:p>
      <w:pPr>
        <w:pStyle w:val="Heading3"/>
        <w:spacing w:after="120" w:before="220"/>
      </w:pPr>
      <w:r>
        <w:rPr>
          <w:rFonts w:ascii="Poppins" w:cs="Poppins" w:eastAsia="Poppins" w:hAnsi="Poppins"/>
          <w:b/>
          <w:bCs/>
          <w:color w:val="333333"/>
          <w:sz w:val="24"/>
          <w:szCs w:val="24"/>
        </w:rPr>
        <w:t xml:space="preserve">Artikel 7.11 Exploitatieovereenkomst — Uitsluiting derden</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De Eigenaar respectievelijk Erfpachter verbindt zich om (uitsluitend) gebruik te maken van de in deze Exploitatieovereenkomst bedoelde leveringen en diensten en om deze niet van derden te betrekken.</w:t>
      </w:r>
    </w:p>
    <w:p>
      <w:pPr>
        <w:pStyle w:val="Heading3"/>
        <w:spacing w:after="120" w:before="220"/>
      </w:pPr>
      <w:r>
        <w:rPr>
          <w:rFonts w:ascii="Poppins" w:cs="Poppins" w:eastAsia="Poppins" w:hAnsi="Poppins"/>
          <w:b/>
          <w:bCs/>
          <w:color w:val="333333"/>
          <w:sz w:val="24"/>
          <w:szCs w:val="24"/>
        </w:rPr>
        <w:t xml:space="preserve">Artikel 15.1 Exploitatieovereenkomst — Bezwaartermijn</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Reclames over facturen dienen schriftelijk te worden ingediend bij de Exploitant en wel binnen twee weken na factuurdatum.</w:t>
      </w:r>
    </w:p>
    <w:p>
      <w:pPr>
        <w:pStyle w:val="Heading3"/>
        <w:spacing w:after="120" w:before="220"/>
      </w:pPr>
      <w:r>
        <w:rPr>
          <w:rFonts w:ascii="Poppins" w:cs="Poppins" w:eastAsia="Poppins" w:hAnsi="Poppins"/>
          <w:b/>
          <w:bCs/>
          <w:color w:val="333333"/>
          <w:sz w:val="24"/>
          <w:szCs w:val="24"/>
        </w:rPr>
        <w:t xml:space="preserve">Artikel 15b AB Erfpacht — Verplichte afname</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Voor verwarmings- en kookdoeleinden mag de erfpachter alleen gas gebruiken, welk gas hij uitsluitend af mag nemen van de Stille Wille, via het gasnet als bedoeld in artikel 8.</w:t>
      </w:r>
    </w:p>
    <w:p>
      <w:pPr>
        <w:pStyle w:val="Heading2"/>
        <w:spacing w:after="180" w:before="320"/>
      </w:pPr>
      <w:r>
        <w:rPr>
          <w:rFonts w:ascii="Poppins" w:cs="Poppins" w:eastAsia="Poppins" w:hAnsi="Poppins"/>
          <w:b/>
          <w:bCs/>
          <w:color w:val="800000"/>
          <w:sz w:val="28"/>
          <w:szCs w:val="28"/>
        </w:rPr>
        <w:t xml:space="preserve">Bijlage 4  Wettelijke kaders</w:t>
      </w:r>
    </w:p>
    <w:p>
      <w:pPr>
        <w:pStyle w:val="Heading3"/>
        <w:spacing w:after="120" w:before="220"/>
      </w:pPr>
      <w:r>
        <w:rPr>
          <w:rFonts w:ascii="Poppins" w:cs="Poppins" w:eastAsia="Poppins" w:hAnsi="Poppins"/>
          <w:b/>
          <w:bCs/>
          <w:color w:val="333333"/>
          <w:sz w:val="24"/>
          <w:szCs w:val="24"/>
        </w:rPr>
        <w:t xml:space="preserve">Artikel 6:248 Burgerlijk Wetboek</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Lid 1: Een overeenkomst heeft niet alleen de door partijen overeengekomen rechtsgevolgen, maar ook die welke, naar de aard van de overeenkomst, uit de wet, de gewoonte of de eisen van redelijkheid en billijkheid voortvloeien.
Lid 2: Een tussen partijen als gevolg van de overeenkomst geldende regel is niet van toepassing, voor zover dit in de gegeven omstandigheden naar maatstaven van redelijkheid en billijkheid onaanvaardbaar zou zijn.</w:t>
      </w:r>
    </w:p>
    <w:p>
      <w:pPr>
        <w:pStyle w:val="Heading3"/>
        <w:spacing w:after="120" w:before="220"/>
      </w:pPr>
      <w:r>
        <w:rPr>
          <w:rFonts w:ascii="Poppins" w:cs="Poppins" w:eastAsia="Poppins" w:hAnsi="Poppins"/>
          <w:b/>
          <w:bCs/>
          <w:color w:val="333333"/>
          <w:sz w:val="24"/>
          <w:szCs w:val="24"/>
        </w:rPr>
        <w:t xml:space="preserve">Artikel 24 Mededingingswet</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Het is ondernemingen verboden misbruik te maken van een economische machtspositie.</w:t>
      </w:r>
    </w:p>
    <w:p>
      <w:pPr>
        <w:pStyle w:val="Heading3"/>
        <w:spacing w:after="120" w:before="220"/>
      </w:pPr>
      <w:r>
        <w:rPr>
          <w:rFonts w:ascii="Poppins" w:cs="Poppins" w:eastAsia="Poppins" w:hAnsi="Poppins"/>
          <w:b/>
          <w:bCs/>
          <w:color w:val="333333"/>
          <w:sz w:val="24"/>
          <w:szCs w:val="24"/>
        </w:rPr>
        <w:t xml:space="preserve">Artikel 6:193b Burgerlijk Wetboek — Kerngrondslag Wet OHP</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Lid 1: Een handelaar handelt onrechtmatig jegens een consument indien hij een handelspraktijk verricht die oneerlijk is.
Lid 2: Een handelspraktijk is oneerlijk indien een handelaar handelt in strijd met de vereisten van professionele toewijding, en het vermogen van de gemiddelde consument om een geïnformeerd besluit te nemen merkbaar is of kan worden beperkt, waardoor de gemiddelde consument een besluit over een overeenkomst neemt of kan nemen dat hij anders niet had genomen.</w:t>
      </w:r>
    </w:p>
    <w:p>
      <w:pPr>
        <w:pStyle w:val="Heading3"/>
        <w:spacing w:after="120" w:before="220"/>
      </w:pPr>
      <w:r>
        <w:rPr>
          <w:rFonts w:ascii="Poppins" w:cs="Poppins" w:eastAsia="Poppins" w:hAnsi="Poppins"/>
          <w:b/>
          <w:bCs/>
          <w:color w:val="333333"/>
          <w:sz w:val="24"/>
          <w:szCs w:val="24"/>
        </w:rPr>
        <w:t xml:space="preserve">Artikel 6:193d Burgerlijk Wetboek — Misleidende omissie</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Lid 1: Een handelspraktijk is misleidend indien essentiële informatie welke de gemiddelde consument nodig heeft om een geïnformeerd besluit over een transactie te nemen wordt weggelaten, waardoor de gemiddelde consument een besluit over een overeenkomst neemt of kan nemen dat hij anders niet had genomen.</w:t>
      </w:r>
    </w:p>
    <w:p>
      <w:pPr>
        <w:pStyle w:val="Heading2"/>
        <w:spacing w:after="180" w:before="320"/>
      </w:pPr>
      <w:r>
        <w:rPr>
          <w:rFonts w:ascii="Poppins" w:cs="Poppins" w:eastAsia="Poppins" w:hAnsi="Poppins"/>
          <w:b/>
          <w:bCs/>
          <w:color w:val="800000"/>
          <w:sz w:val="28"/>
          <w:szCs w:val="28"/>
        </w:rPr>
        <w:t xml:space="preserve">Bijlage 5  Onderzoeksrapport Breedveld/Schoenmaker (2020)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Titel</w:t>
            </w:r>
          </w:p>
        </w:tc>
        <w:tc>
          <w:tcPr>
            <w:tcW w:type="dxa" w:w="6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Onderzoeksverslag naar de ontwikkeling van de gasprijs op het landgoed Stille Wille</w:t>
            </w:r>
          </w:p>
        </w:tc>
      </w:tr>
      <w:tr>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Opdrachtgevers</w:t>
            </w:r>
          </w:p>
        </w:tc>
        <w:tc>
          <w:tcPr>
            <w:tcW w:type="dxa" w:w="6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VHSW en Bestwil, in overleg met de directie van SWB</w:t>
            </w:r>
          </w:p>
        </w:tc>
      </w:tr>
      <w:tr>
        <w:tc>
          <w:tcPr>
            <w:tcW w:type="dxa" w:w="2400"/>
            <w:tcBorders>
              <w:top w:val="single" w:color="DDDDDD" w:sz="4"/>
              <w:left w:val="single" w:color="DDDDDD" w:sz="4"/>
              <w:bottom w:val="single" w:color="DDDDDD" w:sz="4"/>
              <w:right w:val="single" w:color="DDDDDD" w:sz="4"/>
            </w:tcBorders>
            <w:shd w:fill="F5E3E3"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Onderzoekers</w:t>
            </w:r>
          </w:p>
        </w:tc>
        <w:tc>
          <w:tcPr>
            <w:tcW w:type="dxa" w:w="6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Jaap Breedveld en Paul Schoenmaker (bewoners)</w:t>
            </w:r>
          </w:p>
        </w:tc>
      </w:tr>
      <w:tr>
        <w:tc>
          <w:tcPr>
            <w:tcW w:type="dxa" w:w="24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b/>
                <w:bCs/>
                <w:sz w:val="20"/>
                <w:szCs w:val="20"/>
              </w:rPr>
              <w:t xml:space="preserve">Periode</w:t>
            </w:r>
          </w:p>
        </w:tc>
        <w:tc>
          <w:tcPr>
            <w:tcW w:type="dxa" w:w="66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Tussenrapportage maart 2020 / eindrapportage juni 2020</w:t>
            </w:r>
          </w:p>
        </w:tc>
      </w:tr>
    </w:tbl>
    <w:p>
      <w:pPr>
        <w:spacing w:after="140" w:before="0" w:line="360"/>
      </w:pPr>
      <w:r>
        <w:rPr>
          <w:rFonts w:ascii="Mulish" w:cs="Mulish" w:eastAsia="Mulish" w:hAnsi="Mulish"/>
          <w:sz w:val="22"/>
          <w:szCs w:val="22"/>
        </w:rPr>
        <w:t xml:space="preserve"> </w:t>
      </w:r>
    </w:p>
    <w:p>
      <w:pPr>
        <w:pStyle w:val="Heading3"/>
        <w:spacing w:after="120" w:before="220"/>
      </w:pPr>
      <w:r>
        <w:rPr>
          <w:rFonts w:ascii="Poppins" w:cs="Poppins" w:eastAsia="Poppins" w:hAnsi="Poppins"/>
          <w:b/>
          <w:bCs/>
          <w:color w:val="333333"/>
          <w:sz w:val="24"/>
          <w:szCs w:val="24"/>
        </w:rPr>
        <w:t xml:space="preserve">Letterlijk citaat over de gemeten lekverliezen</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Eerste berekening in het verschil tussen de inkoop in liters en het bemeterde verbruik in m3's laat een verlies zien van 35% = ruim 90.000 liter à € 0,52 = ruim € 45.000,- excl. BTW.</w:t>
      </w:r>
    </w:p>
    <w:p>
      <w:pPr>
        <w:spacing w:after="140" w:before="0" w:line="360"/>
      </w:pPr>
      <w:r>
        <w:rPr>
          <w:rFonts w:ascii="Mulish" w:cs="Mulish" w:eastAsia="Mulish" w:hAnsi="Mulish"/>
          <w:i/>
          <w:iCs/>
          <w:color w:val="555555"/>
          <w:sz w:val="22"/>
          <w:szCs w:val="22"/>
        </w:rPr>
        <w:t xml:space="preserve">Het volledige rapport is op verzoek beschikbaar via VHSW of Bestwil.</w:t>
      </w:r>
    </w:p>
    <w:p>
      <w:pPr>
        <w:pStyle w:val="Heading2"/>
        <w:spacing w:after="180" w:before="320"/>
      </w:pPr>
      <w:r>
        <w:rPr>
          <w:rFonts w:ascii="Poppins" w:cs="Poppins" w:eastAsia="Poppins" w:hAnsi="Poppins"/>
          <w:b/>
          <w:bCs/>
          <w:color w:val="800000"/>
          <w:sz w:val="28"/>
          <w:szCs w:val="28"/>
        </w:rPr>
        <w:t xml:space="preserve">Bijlage 6  Marktreferentie propaangasprijs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Leverancier</w:t>
            </w:r>
          </w:p>
        </w:tc>
        <w:tc>
          <w:tcPr>
            <w:tcW w:type="dxa" w:w="2800"/>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Prijs per liter (incl. BTW)</w:t>
            </w:r>
          </w:p>
        </w:tc>
        <w:tc>
          <w:tcPr>
            <w:tcW w:type="dxa" w:w="3026"/>
            <w:tcBorders>
              <w:top w:val="single" w:color="DDDDDD" w:sz="4"/>
              <w:left w:val="single" w:color="DDDDDD" w:sz="4"/>
              <w:bottom w:val="single" w:color="DDDDDD" w:sz="4"/>
              <w:right w:val="single" w:color="DDDDDD" w:sz="4"/>
            </w:tcBorders>
            <w:shd w:fill="800000" w:val="clear"/>
            <w:tcMar>
              <w:top w:type="dxa" w:w="140"/>
              <w:left w:type="dxa" w:w="160"/>
              <w:bottom w:type="dxa" w:w="140"/>
              <w:right w:type="dxa" w:w="160"/>
            </w:tcMar>
          </w:tcPr>
          <w:p>
            <w:pPr>
              <w:spacing w:after="0" w:line="280"/>
            </w:pPr>
            <w:r>
              <w:rPr>
                <w:rFonts w:ascii="Poppins" w:cs="Poppins" w:eastAsia="Poppins" w:hAnsi="Poppins"/>
                <w:b/>
                <w:bCs/>
                <w:color w:val="FFFFFF"/>
                <w:sz w:val="20"/>
                <w:szCs w:val="20"/>
              </w:rPr>
              <w:t xml:space="preserve">Bron</w:t>
            </w:r>
          </w:p>
        </w:tc>
      </w:tr>
      <w:tr>
        <w:tc>
          <w:tcPr>
            <w:tcW w:type="dxa" w:w="32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Tankgas Nederland</w:t>
            </w:r>
          </w:p>
        </w:tc>
        <w:tc>
          <w:tcPr>
            <w:tcW w:type="dxa" w:w="2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€ 0,75 – 0,85</w:t>
            </w:r>
          </w:p>
        </w:tc>
        <w:tc>
          <w:tcPr>
            <w:tcW w:type="dxa" w:w="30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Dagprijspublicatie april 2026</w:t>
            </w:r>
          </w:p>
        </w:tc>
      </w:tr>
      <w:tr>
        <w:tc>
          <w:tcPr>
            <w:tcW w:type="dxa" w:w="32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Antargaz Nederland</w:t>
            </w:r>
          </w:p>
        </w:tc>
        <w:tc>
          <w:tcPr>
            <w:tcW w:type="dxa" w:w="2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€ 0,80 – 0,90</w:t>
            </w:r>
          </w:p>
        </w:tc>
        <w:tc>
          <w:tcPr>
            <w:tcW w:type="dxa" w:w="30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Tariefkaart april 2026</w:t>
            </w:r>
          </w:p>
        </w:tc>
      </w:tr>
      <w:tr>
        <w:tc>
          <w:tcPr>
            <w:tcW w:type="dxa" w:w="32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Benegas</w:t>
            </w:r>
          </w:p>
        </w:tc>
        <w:tc>
          <w:tcPr>
            <w:tcW w:type="dxa" w:w="2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€ 0,75 – 0,85</w:t>
            </w:r>
          </w:p>
        </w:tc>
        <w:tc>
          <w:tcPr>
            <w:tcW w:type="dxa" w:w="30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Prijsopgave 2026</w:t>
            </w:r>
          </w:p>
        </w:tc>
      </w:tr>
      <w:tr>
        <w:tc>
          <w:tcPr>
            <w:tcW w:type="dxa" w:w="320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Referentie België (&gt;2.000 l)</w:t>
            </w:r>
          </w:p>
        </w:tc>
        <w:tc>
          <w:tcPr>
            <w:tcW w:type="dxa" w:w="2800"/>
            <w:tcBorders>
              <w:top w:val="single" w:color="DDDDDD" w:sz="4"/>
              <w:left w:val="single" w:color="DDDDDD" w:sz="4"/>
              <w:bottom w:val="single" w:color="DDDDDD" w:sz="4"/>
              <w:right w:val="single" w:color="DDDDDD" w:sz="4"/>
            </w:tcBorders>
            <w:shd w:fill="FAF0F0" w:val="clear"/>
            <w:tcMar>
              <w:top w:type="dxa" w:w="120"/>
              <w:left w:type="dxa" w:w="160"/>
              <w:bottom w:type="dxa" w:w="120"/>
              <w:right w:type="dxa" w:w="160"/>
            </w:tcMar>
          </w:tcPr>
          <w:p>
            <w:pPr>
              <w:spacing w:after="0" w:line="320"/>
            </w:pPr>
            <w:r>
              <w:rPr>
                <w:rFonts w:ascii="Mulish" w:cs="Mulish" w:eastAsia="Mulish" w:hAnsi="Mulish"/>
                <w:sz w:val="20"/>
                <w:szCs w:val="20"/>
              </w:rPr>
              <w:t xml:space="preserve">€ 0,69</w:t>
            </w:r>
          </w:p>
        </w:tc>
        <w:tc>
          <w:tcPr>
            <w:tcW w:type="dxa" w:w="3026"/>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0" w:line="320"/>
            </w:pPr>
            <w:r>
              <w:rPr>
                <w:rFonts w:ascii="Mulish" w:cs="Mulish" w:eastAsia="Mulish" w:hAnsi="Mulish"/>
                <w:sz w:val="20"/>
                <w:szCs w:val="20"/>
              </w:rPr>
              <w:t xml:space="preserve">Antargaz/Primagaz, januari 2026</w:t>
            </w:r>
          </w:p>
        </w:tc>
      </w:tr>
    </w:tbl>
    <w:p>
      <w:pPr>
        <w:spacing w:after="140" w:before="0" w:line="360"/>
      </w:pPr>
      <w:r>
        <w:rPr>
          <w:rFonts w:ascii="Mulish" w:cs="Mulish" w:eastAsia="Mulish" w:hAnsi="Mulish"/>
          <w:sz w:val="22"/>
          <w:szCs w:val="22"/>
        </w:rPr>
        <w:t xml:space="preserve"> </w:t>
      </w:r>
    </w:p>
    <w:p>
      <w:pPr>
        <w:pBdr>
          <w:top w:val="single" w:color="660000" w:sz="6" w:space="10"/>
          <w:bottom w:val="single" w:color="660000" w:sz="6" w:space="10"/>
          <w:left w:val="single" w:color="660000" w:sz="24" w:space="12"/>
          <w:right w:val="single" w:color="660000" w:sz="6" w:space="10"/>
        </w:pBdr>
        <w:shd w:fill="F5E3E3" w:val="clear"/>
        <w:spacing w:after="220" w:before="160" w:line="360"/>
        <w:ind w:left="240" w:right="240"/>
      </w:pPr>
      <w:r>
        <w:rPr>
          <w:rFonts w:ascii="Mulish" w:cs="Mulish" w:eastAsia="Mulish" w:hAnsi="Mulish"/>
          <w:b/>
          <w:bCs/>
          <w:color w:val="660000"/>
          <w:sz w:val="22"/>
          <w:szCs w:val="22"/>
        </w:rPr>
        <w:t xml:space="preserve">Marktconforme bandbreedte Nederland 2026: € 0,80 – 0,95 per liter vloeibaar propaan incl. BTW, ofwel ca. € 3,00 – € 3,50 per m³ gasvormig propaan.</w:t>
      </w:r>
    </w:p>
    <w:p>
      <w:pPr>
        <w:pStyle w:val="Heading2"/>
        <w:spacing w:after="180" w:before="320"/>
      </w:pPr>
      <w:r>
        <w:rPr>
          <w:rFonts w:ascii="Poppins" w:cs="Poppins" w:eastAsia="Poppins" w:hAnsi="Poppins"/>
          <w:b/>
          <w:bCs/>
          <w:color w:val="800000"/>
          <w:sz w:val="28"/>
          <w:szCs w:val="28"/>
        </w:rPr>
        <w:t xml:space="preserve">Bijlage 7  Erkenning administratieve fout door SWB</w:t>
      </w:r>
    </w:p>
    <w:p>
      <w:pPr>
        <w:spacing w:after="140" w:before="0" w:line="360"/>
      </w:pPr>
      <w:r>
        <w:rPr>
          <w:rFonts w:ascii="Mulish" w:cs="Mulish" w:eastAsia="Mulish" w:hAnsi="Mulish"/>
          <w:sz w:val="22"/>
          <w:szCs w:val="22"/>
        </w:rPr>
        <w:t xml:space="preserve">Letterlijke tekst uit het begeleidende schrijven van SWB bij de naheffing:</w:t>
      </w:r>
    </w:p>
    <w:p>
      <w:pPr>
        <w:pBdr>
          <w:top w:val="single" w:color="EBC9C9" w:sz="4" w:space="8"/>
          <w:bottom w:val="single" w:color="EBC9C9" w:sz="4" w:space="8"/>
          <w:left w:val="single" w:color="800000" w:sz="24" w:space="12"/>
          <w:right w:val="single" w:color="EBC9C9" w:sz="4" w:space="8"/>
        </w:pBdr>
        <w:shd w:fill="FAF0F0" w:val="clear"/>
        <w:spacing w:after="200" w:before="100" w:line="360"/>
        <w:ind w:left="360" w:right="360"/>
      </w:pPr>
      <w:r>
        <w:rPr>
          <w:rFonts w:ascii="Mulish" w:cs="Mulish" w:eastAsia="Mulish" w:hAnsi="Mulish"/>
          <w:i/>
          <w:iCs/>
          <w:color w:val="333333"/>
          <w:sz w:val="22"/>
          <w:szCs w:val="22"/>
        </w:rPr>
        <w:t xml:space="preserve">De reden van de correctie van de afrekening 2024-2025 is dat er door de overgang van de administratie per 1 april 2025, met terugwerkende kracht per 1 januari 2025, twee nota's van Benegas niet waren meegenomen in de totale kosten. Eveneens is er een nagekomen nota voor huur gastank 2025 van € 5.513,93, waarvan 5/12 meegenomen dient te worden in de afrekening 2024-2025. Conform afspraken met de Stille Wille Brabant worden de gaskosten betaald door de gasverbruikers.</w:t>
      </w:r>
    </w:p>
    <w:p>
      <w:pPr>
        <w:pStyle w:val="Heading2"/>
        <w:spacing w:after="180" w:before="320"/>
      </w:pPr>
      <w:r>
        <w:rPr>
          <w:rFonts w:ascii="Poppins" w:cs="Poppins" w:eastAsia="Poppins" w:hAnsi="Poppins"/>
          <w:b/>
          <w:bCs/>
          <w:color w:val="800000"/>
          <w:sz w:val="28"/>
          <w:szCs w:val="28"/>
        </w:rPr>
        <w:t xml:space="preserve">Bijlage 8  Individuele factuur (toe te voegen door de bewoner)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0000" w:sz="12" w:space="0"/>
              <w:left w:val="dashed" w:color="800000" w:sz="12" w:space="0"/>
              <w:bottom w:val="dashed" w:color="800000" w:sz="12" w:space="0"/>
              <w:right w:val="dashed" w:color="800000" w:sz="12" w:space="0"/>
            </w:tcBorders>
            <w:shd w:fill="FFF3E0" w:val="clear"/>
            <w:tcMar>
              <w:top w:type="dxa" w:w="280"/>
              <w:left w:type="dxa" w:w="360"/>
              <w:bottom w:type="dxa" w:w="280"/>
              <w:right w:type="dxa" w:w="360"/>
            </w:tcMar>
          </w:tcPr>
          <w:p>
            <w:pPr>
              <w:spacing w:after="0" w:line="360"/>
            </w:pPr>
            <w:r>
              <w:rPr>
                <w:rFonts w:ascii="Mulish" w:cs="Mulish" w:eastAsia="Mulish" w:hAnsi="Mulish"/>
                <w:i/>
                <w:iCs/>
                <w:color w:val="333333"/>
                <w:sz w:val="22"/>
                <w:szCs w:val="22"/>
              </w:rPr>
              <w:t xml:space="preserve">Plaats hier een kopie van uw eigen naheffingsfactuur en het bijbehorende begeleidende schrijven van SWB. Dit is essentieel bewijs voor de individuele rechtsbijstandsbehandeling.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0000" w:sz="6" w:space="8"/>
      </w:pBdr>
      <w:spacing w:before="80"/>
      <w:jc w:val="center"/>
    </w:pPr>
    <w:r>
      <w:rPr>
        <w:rFonts w:ascii="Mulish" w:cs="Mulish" w:eastAsia="Mulish" w:hAnsi="Mulish"/>
        <w:color w:val="777777"/>
        <w:sz w:val="16"/>
        <w:szCs w:val="16"/>
      </w:rPr>
      <w:t xml:space="preserve">Dossier V2.2  |  Gasproblematiek Landgoed De Stille Wille  |  Mei 2026  |  </w:t>
    </w:r>
    <w:r>
      <w:rPr>
        <w:rFonts w:ascii="Mulish" w:cs="Mulish" w:eastAsia="Mulish" w:hAnsi="Mulish"/>
        <w:b/>
        <w:bCs/>
        <w:color w:val="800000"/>
        <w:sz w:val="16"/>
        <w:szCs w:val="16"/>
      </w:rPr>
      <w:fldChar w:fldCharType="begin"/>
      <w:instrText xml:space="preserve">PAGE</w:instrText>
      <w:fldChar w:fldCharType="separate"/>
      <w:fldChar w:fldCharType="end"/>
    </w:r>
    <w:r>
      <w:rPr>
        <w:rFonts w:ascii="Mulish" w:cs="Mulish" w:eastAsia="Mulish" w:hAnsi="Mulish"/>
        <w:color w:val="777777"/>
        <w:sz w:val="16"/>
        <w:szCs w:val="16"/>
      </w:rPr>
      <w:t xml:space="preserve"> / </w:t>
    </w:r>
    <w:r>
      <w:rPr>
        <w:rFonts w:ascii="Mulish" w:cs="Mulish" w:eastAsia="Mulish" w:hAnsi="Mulish"/>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800000"/>
      </w:rPr>
    </w:lvl>
  </w:abstractNum>
  <w:abstractNum w:abstractNumId="3" w15:restartNumberingAfterBreak="0">
    <w:multiLevelType w:val="hybridMultilevel"/>
    <w:lvl w:ilvl="0" w15:tentative="1">
      <w:start w:val="1"/>
      <w:numFmt w:val="decimal"/>
      <w:lvlText w:val="%1."/>
      <w:lvlJc w:val="left"/>
      <w:pPr>
        <w:ind w:left="720" w:hanging="360"/>
      </w:pPr>
      <w:rPr>
        <w:b/>
        <w:bCs/>
        <w:color w:val="800000"/>
      </w:rPr>
    </w:lvl>
  </w:abstractNum>
  <w:abstractNum w:abstractNumId="4" w15:restartNumberingAfterBreak="0">
    <w:multiLevelType w:val="hybridMultilevel"/>
    <w:lvl w:ilvl="0" w15:tentative="1">
      <w:start w:val="1"/>
      <w:numFmt w:val="lowerLetter"/>
      <w:lvlText w:val="%1."/>
      <w:lvlJc w:val="left"/>
      <w:pPr>
        <w:ind w:left="720" w:hanging="360"/>
      </w:pPr>
      <w:rPr>
        <w:b/>
        <w:bCs/>
        <w:color w:val="8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ulish" w:cs="Mulish" w:eastAsia="Mulish" w:hAnsi="Mulish"/>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Poppins" w:cs="Poppins" w:eastAsia="Poppins" w:hAnsi="Poppins"/>
      <w:b/>
      <w:bCs/>
      <w:color w:val="800000"/>
      <w:sz w:val="40"/>
      <w:szCs w:val="40"/>
    </w:rPr>
  </w:style>
  <w:style w:type="paragraph" w:styleId="Heading2">
    <w:name w:val="Heading 2"/>
    <w:basedOn w:val="Normal"/>
    <w:next w:val="Normal"/>
    <w:qFormat/>
    <w:pPr>
      <w:spacing w:after="180" w:before="320"/>
      <w:outlineLvl w:val="1"/>
    </w:pPr>
    <w:rPr>
      <w:rFonts w:ascii="Poppins" w:cs="Poppins" w:eastAsia="Poppins" w:hAnsi="Poppins"/>
      <w:b/>
      <w:bCs/>
      <w:color w:val="800000"/>
      <w:sz w:val="28"/>
      <w:szCs w:val="28"/>
    </w:rPr>
  </w:style>
  <w:style w:type="paragraph" w:styleId="Heading3">
    <w:name w:val="Heading 3"/>
    <w:basedOn w:val="Normal"/>
    <w:next w:val="Normal"/>
    <w:qFormat/>
    <w:pPr>
      <w:spacing w:after="120" w:before="220"/>
      <w:outlineLvl w:val="2"/>
    </w:pPr>
    <w:rPr>
      <w:rFonts w:ascii="Poppins" w:cs="Poppins" w:eastAsia="Poppins" w:hAnsi="Poppins"/>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V2.2 Gasproblematiek Landgoed De Stille Wille</dc:title>
  <dc:creator>Bewoners Landgoed De Stille Wille</dc:creator>
  <cp:lastModifiedBy>Un-named</cp:lastModifiedBy>
  <cp:revision>1</cp:revision>
  <dcterms:created xsi:type="dcterms:W3CDTF">2026-05-11T07:42:53.902Z</dcterms:created>
  <dcterms:modified xsi:type="dcterms:W3CDTF">2026-05-11T07:42:53.920Z</dcterms:modified>
</cp:coreProperties>
</file>

<file path=docProps/custom.xml><?xml version="1.0" encoding="utf-8"?>
<Properties xmlns="http://schemas.openxmlformats.org/officeDocument/2006/custom-properties" xmlns:vt="http://schemas.openxmlformats.org/officeDocument/2006/docPropsVTypes"/>
</file>