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75B6"/>
          <w:sz w:val="32"/>
          <w:szCs w:val="32"/>
        </w:rPr>
        <w:t xml:space="preserve">SIFTA — Technical Brief for Engineering Review</w:t>
      </w:r>
    </w:p>
    <w:p>
      <w:pPr>
        <w:spacing w:after="60"/>
      </w:pPr>
      <w:r>
        <w:rPr>
          <w:i/>
          <w:iCs/>
          <w:color w:val="555555"/>
          <w:sz w:val="22"/>
          <w:szCs w:val="22"/>
        </w:rPr>
        <w:t xml:space="preserve">A local-first, energy-aware multi-agent runtime with cryptographically receipted actions</w:t>
      </w:r>
    </w:p>
    <w:p>
      <w:pPr>
        <w:spacing w:after="120"/>
      </w:pPr>
      <w:r>
        <w:rPr>
          <w:color w:val="555555"/>
          <w:sz w:val="18"/>
          <w:szCs w:val="18"/>
        </w:rPr>
        <w:t xml:space="preserve">Author: Ioan George Anton (Architect)   ·   Prepared for: prospective technical reviewer</w:t>
      </w:r>
    </w:p>
    <w:p>
      <w:pPr>
        <w:pBdr>
          <w:bottom w:val="single" w:color="2E75B6" w:sz="6" w:space="1"/>
        </w:pBdr>
        <w:spacing w:after="160"/>
      </w:pPr>
      <w:r>
        <w:t xml:space="preserve"/>
      </w:r>
    </w:p>
    <w:p>
      <w:pPr>
        <w:spacing w:after="160" w:line="276"/>
      </w:pPr>
      <w:r>
        <w:rPr>
          <w:b/>
          <w:bCs/>
        </w:rPr>
        <w:t xml:space="preserve">Purpose of this document. </w:t>
      </w:r>
      <w:r>
        <w:t xml:space="preserve">This brief is written for an engineer, not a marketer. It states plainly what SIFTA's software does, separates the claims you can verify on a Mac in minutes from the conceptual model behind the design, and tells you exactly how to check each one. If a claim cannot be reproduced with a standard macOS command, it is labeled as a model or an estimate, not a measurement.</w:t>
      </w:r>
    </w:p>
    <w:p>
      <w:pPr>
        <w:pStyle w:val="Heading1"/>
      </w:pPr>
      <w:r>
        <w:t xml:space="preserve">1. What SIFTA is, in one paragraph</w:t>
      </w:r>
    </w:p>
    <w:p>
      <w:pPr>
        <w:spacing w:after="160" w:line="276"/>
      </w:pPr>
      <w:r>
        <w:t xml:space="preserve">SIFTA is a local-first runtime that runs entirely on the owner's own Mac. Instead of one monolithic process, work is carried out by many small software agents that coordinate indirectly by reading and writing shared trace files — the same principle (</w:t>
      </w:r>
      <w:r>
        <w:rPr>
          <w:i/>
          <w:iCs/>
        </w:rPr>
        <w:t xml:space="preserve">stigmergy</w:t>
      </w:r>
      <w:r>
        <w:t xml:space="preserve">) that lets an ant colony organize without a boss. Two things make it unusual as engineering: (a) every meaningful action must first pass a gate that reads the machine's real thermal and power state and can refuse the work, and (b) every gated action emits a SHA-256 receipt over the sensor readings that authorized it, so the action log is tamper-evident. The system is designed so that energy and heat are first-class budget constraints, not afterthoughts.</w:t>
      </w:r>
    </w:p>
    <w:p>
      <w:pPr>
        <w:pStyle w:val="Heading1"/>
      </w:pPr>
      <w:r>
        <w:t xml:space="preserve">2. Claims you can verify in minutes</w:t>
      </w:r>
    </w:p>
    <w:p>
      <w:pPr>
        <w:spacing w:after="160" w:line="276"/>
      </w:pPr>
      <w:r>
        <w:t xml:space="preserve">Each row below is backed by code in the repository. The right column is how a reviewer reproduces it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23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Claim</w:t>
            </w:r>
          </w:p>
        </w:tc>
        <w:tc>
          <w:tcPr>
            <w:tcW w:type="dxa" w:w="4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What it actually is</w:t>
            </w:r>
          </w:p>
        </w:tc>
        <w:tc>
          <w:tcPr>
            <w:tcW w:type="dxa" w:w="2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How to verify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Thermal-aware admission control</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Before heavy work runs, the gate reads live thermal pressure and denies if the chip is too hot.</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Run pmset -g therm and compare to the gate's recorded thermal_level.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Power-aware throttling</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Gate reads battery charge + Low Power Mode and defers non-essential work on battery.</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Run pmset -g batt; toggle Low Power Mode and watch behavior change.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Energy receipts with error bounds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Inference energy is watts x time, idle-baseline subtracted, with an explicit +/- bound. Refuses to sign if the meter is untrusted.</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Inspect /api/inference_joule_receipt output: net_low / net_high and measurement_method.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Tamper-evident action log</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Every gated action is sealed with a SHA-256 hash over its sensor readings + decision.</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Recompute the hash from the logged signals; it must match.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Decentralized coordination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Independent software agents coordinate via shared traces (stigmergy) rather than a central controller.</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Read the trace ledgers; no central scheduler process exists.</w:t>
            </w:r>
          </w:p>
        </w:tc>
      </w:tr>
    </w:tbl>
    <w:p>
      <w:pPr>
        <w:spacing w:after="120"/>
      </w:pPr>
      <w:r>
        <w:t xml:space="preserve"/>
      </w:r>
    </w:p>
    <w:p>
      <w:pPr>
        <w:pStyle w:val="Heading1"/>
      </w:pPr>
      <w:r>
        <w:t xml:space="preserve">3. The two parts of the energy claim — read this carefully</w:t>
      </w:r>
    </w:p>
    <w:p>
      <w:pPr>
        <w:spacing w:after="160" w:line="276"/>
      </w:pPr>
      <w:r>
        <w:t xml:space="preserve">The most common misunderstanding is around energy in joules, so we are explicit. There are </w:t>
      </w:r>
      <w:r>
        <w:rPr>
          <w:b/>
          <w:bCs/>
        </w:rPr>
        <w:t xml:space="preserve">two separate pathways</w:t>
      </w:r>
      <w:r>
        <w:t xml:space="preserve">, and we do not treat them as equal.</w:t>
      </w:r>
    </w:p>
    <w:p>
      <w:pPr>
        <w:spacing w:after="160" w:line="276"/>
      </w:pPr>
      <w:r>
        <w:rPr>
          <w:b/>
          <w:bCs/>
        </w:rPr>
        <w:t xml:space="preserve">Estimated energy (heuristic). </w:t>
      </w:r>
      <w:r>
        <w:t xml:space="preserve">A lightweight cost estimate derived from token counts and CPU load. It is useful for internal budgeting only. It is labeled as an estimate everywhere it appears and is never presented as a measurement.</w:t>
      </w:r>
    </w:p>
    <w:p>
      <w:pPr>
        <w:spacing w:after="160" w:line="276"/>
      </w:pPr>
      <w:r>
        <w:rPr>
          <w:b/>
          <w:bCs/>
        </w:rPr>
        <w:t xml:space="preserve">Measured energy (metered). </w:t>
      </w:r>
      <w:r>
        <w:t xml:space="preserve">The </w:t>
      </w:r>
      <w:r>
        <w:rPr>
          <w:rFonts w:ascii="Courier New" w:cs="Courier New" w:eastAsia="Courier New" w:hAnsi="Courier New"/>
          <w:sz w:val="20"/>
          <w:szCs w:val="20"/>
        </w:rPr>
        <w:t xml:space="preserve">/api/inference_joule_receipt</w:t>
      </w:r>
      <w:r>
        <w:t xml:space="preserve"> endpoint reads device power before and after an inference, integrates it as watts x time (trapezoidal), subtracts an idle baseline, and attaches an explicit error bound (a low/high range). Critically, if the power source is not a trusted meter, the endpoint </w:t>
      </w:r>
      <w:r>
        <w:rPr>
          <w:b/>
          <w:bCs/>
        </w:rPr>
        <w:t xml:space="preserve">refuses to issue a receipt</w:t>
      </w:r>
      <w:r>
        <w:t xml:space="preserve"> (HTTP 503) and self-labels its method as </w:t>
      </w:r>
      <w:r>
        <w:rPr>
          <w:rFonts w:ascii="Courier New" w:cs="Courier New" w:eastAsia="Courier New" w:hAnsi="Courier New"/>
          <w:sz w:val="20"/>
          <w:szCs w:val="20"/>
        </w:rPr>
        <w:t xml:space="preserve">cpu_load_estimated</w:t>
      </w:r>
      <w:r>
        <w:t xml:space="preserve"> rather than inventing a number. Real metering on Apple Silicon uses </w:t>
      </w:r>
      <w:r>
        <w:rPr>
          <w:rFonts w:ascii="Courier New" w:cs="Courier New" w:eastAsia="Courier New" w:hAnsi="Courier New"/>
          <w:sz w:val="20"/>
          <w:szCs w:val="20"/>
        </w:rPr>
        <w:t xml:space="preserve">powermetrics --samplers smc</w:t>
      </w:r>
      <w:r>
        <w:t xml:space="preserve">, which requires a one-time privileged install. Where that meter is not active, energy values are reported as estimates, by design.</w:t>
      </w:r>
    </w:p>
    <w:p>
      <w:pPr>
        <w:spacing w:after="160" w:line="276"/>
      </w:pPr>
      <w:r>
        <w:rPr>
          <w:b/>
          <w:bCs/>
        </w:rPr>
        <w:t xml:space="preserve">Bottom line for a reviewer: </w:t>
      </w:r>
      <w:r>
        <w:t xml:space="preserve">thermal pressure is genuinely measured (via </w:t>
      </w:r>
      <w:r>
        <w:rPr>
          <w:rFonts w:ascii="Courier New" w:cs="Courier New" w:eastAsia="Courier New" w:hAnsi="Courier New"/>
          <w:sz w:val="20"/>
          <w:szCs w:val="20"/>
        </w:rPr>
        <w:t xml:space="preserve">pmset -g therm</w:t>
      </w:r>
      <w:r>
        <w:t xml:space="preserve">); joule figures are honest about whether they are metered or estimated, and the system would rather say “I don’t know” than fabricate a measurement.</w:t>
      </w:r>
    </w:p>
    <w:p>
      <w:pPr>
        <w:pageBreakBefore/>
      </w:pPr>
      <w:r>
        <w:t xml:space="preserve"/>
      </w:r>
    </w:p>
    <w:p>
      <w:pPr>
        <w:pStyle w:val="Heading1"/>
      </w:pPr>
      <w:r>
        <w:t xml:space="preserve">4. The design philosophy — this is a model, not a physics claim</w:t>
      </w:r>
    </w:p>
    <w:p>
      <w:pPr>
        <w:spacing w:after="160" w:line="276"/>
      </w:pPr>
      <w:r>
        <w:t xml:space="preserve">SIFTA is designed using a biological and physical vocabulary: small agents are called “swimmers,” groups of them are “organs,” and the shared trace space is a “field.” This language is a </w:t>
      </w:r>
      <w:r>
        <w:rPr>
          <w:b/>
          <w:bCs/>
        </w:rPr>
        <w:t xml:space="preserve">design model</w:t>
      </w:r>
      <w:r>
        <w:t xml:space="preserve"> — a way of reasoning about decentralized coordination — and the brief states clearly that it is a model. The software is </w:t>
      </w:r>
      <w:r>
        <w:rPr>
          <w:b/>
          <w:bCs/>
        </w:rPr>
        <w:t xml:space="preserve">inspired by</w:t>
      </w:r>
      <w:r>
        <w:t xml:space="preserve"> thermodynamics and swarm biology and </w:t>
      </w:r>
      <w:r>
        <w:rPr>
          <w:b/>
          <w:bCs/>
        </w:rPr>
        <w:t xml:space="preserve">measures and responds to</w:t>
      </w:r>
      <w:r>
        <w:t xml:space="preserve"> real physical quantities; it does not claim to be a new law of physics. Keeping that line sharp is what makes the verifiable claims in Section 2 trustworthy.</w:t>
      </w:r>
    </w:p>
    <w:p>
      <w:pPr>
        <w:spacing w:after="160" w:line="276"/>
      </w:pPr>
      <w:r>
        <w:rPr>
          <w:b/>
          <w:bCs/>
        </w:rPr>
        <w:t xml:space="preserve">Why the model is useful. </w:t>
      </w:r>
      <w:r>
        <w:t xml:space="preserve">Decentralized, trace-based coordination is a well-established idea (stigmergy, swarm intelligence, ant colony optimization). Treating heat and energy as hard constraints that can veto work is a sound engineering response to thermal and battery limits on a single machine. The biological framing makes a large system of cooperating agents easier to reason about, extend, and audit.</w:t>
      </w:r>
    </w:p>
    <w:p>
      <w:pPr>
        <w:spacing w:after="160" w:line="276"/>
      </w:pPr>
      <w:r>
        <w:rPr>
          <w:b/>
          <w:bCs/>
        </w:rPr>
        <w:t xml:space="preserve">Where the model stops. </w:t>
      </w:r>
      <w:r>
        <w:t xml:space="preserve">Phrases like “thermodynamic verification is the cryptographic signature” are design poetry. Mechanically, the thermal reading is one </w:t>
      </w:r>
      <w:r>
        <w:rPr>
          <w:i/>
          <w:iCs/>
        </w:rPr>
        <w:t xml:space="preserve">input</w:t>
      </w:r>
      <w:r>
        <w:t xml:space="preserve"> to a decision, and the SHA-256 hash is a separate </w:t>
      </w:r>
      <w:r>
        <w:rPr>
          <w:i/>
          <w:iCs/>
        </w:rPr>
        <w:t xml:space="preserve">seal</w:t>
      </w:r>
      <w:r>
        <w:t xml:space="preserve"> over that decision. They cooperate; they are not literally the same operation. The internal accounting unit (“STGM”) is software bookkeeping, not a physical quantity.</w:t>
      </w:r>
    </w:p>
    <w:p>
      <w:pPr>
        <w:pStyle w:val="Heading1"/>
      </w:pPr>
      <w:r>
        <w:t xml:space="preserve">5. What an independent engineer would actually find</w:t>
      </w:r>
    </w:p>
    <w:p>
      <w:pPr>
        <w:spacing w:after="160" w:line="276"/>
      </w:pPr>
      <w:r>
        <w:t xml:space="preserve">A competent reviewer reading the code will find a genuine multi-agent runtime: an admission-control gate driven by real OS telemetry, a signed/receipted action ledger, an energy-accounting service with error bounds and an honest refusal path, and a test suite. They will not find new physics, and we do not ask them to. We ask them to verify the engineering claims in Section 2 — all of which are reproducible on a Mac — and to evaluate the architecture on its merits as software.</w:t>
      </w:r>
    </w:p>
    <w:p>
      <w:pPr>
        <w:pStyle w:val="Heading1"/>
      </w:pPr>
      <w:r>
        <w:t xml:space="preserve">6. Suggested 30-minute evaluation path</w:t>
      </w:r>
    </w:p>
    <w:p>
      <w:pPr>
        <w:spacing w:after="160" w:line="276"/>
      </w:pPr>
      <w:r>
        <w:rPr>
          <w:b/>
          <w:bCs/>
        </w:rPr>
        <w:t xml:space="preserve">1. </w:t>
      </w:r>
      <w:r>
        <w:rPr>
          <w:rFonts w:ascii="Courier New" w:cs="Courier New" w:eastAsia="Courier New" w:hAnsi="Courier New"/>
          <w:sz w:val="20"/>
          <w:szCs w:val="20"/>
        </w:rPr>
        <w:t xml:space="preserve">pmset -g therm</w:t>
      </w:r>
      <w:r>
        <w:t xml:space="preserve">  — confirm the thermal source the gate reads is real.</w:t>
      </w:r>
    </w:p>
    <w:p>
      <w:pPr>
        <w:spacing w:after="160" w:line="276"/>
      </w:pPr>
      <w:r>
        <w:rPr>
          <w:b/>
          <w:bCs/>
        </w:rPr>
        <w:t xml:space="preserve">2. </w:t>
      </w:r>
      <w:r>
        <w:t xml:space="preserve">Trigger a heavy task while the machine is warm; confirm the gate defers it and logs a denial row.</w:t>
      </w:r>
    </w:p>
    <w:p>
      <w:pPr>
        <w:spacing w:after="160" w:line="276"/>
      </w:pPr>
      <w:r>
        <w:rPr>
          <w:b/>
          <w:bCs/>
        </w:rPr>
        <w:t xml:space="preserve">3. </w:t>
      </w:r>
      <w:r>
        <w:t xml:space="preserve">Call the inference endpoint; inspect the receipt's </w:t>
      </w:r>
      <w:r>
        <w:rPr>
          <w:rFonts w:ascii="Courier New" w:cs="Courier New" w:eastAsia="Courier New" w:hAnsi="Courier New"/>
          <w:sz w:val="20"/>
          <w:szCs w:val="20"/>
        </w:rPr>
        <w:t xml:space="preserve">net_low / net_high</w:t>
      </w:r>
      <w:r>
        <w:t xml:space="preserve"> and </w:t>
      </w:r>
      <w:r>
        <w:rPr>
          <w:rFonts w:ascii="Courier New" w:cs="Courier New" w:eastAsia="Courier New" w:hAnsi="Courier New"/>
          <w:sz w:val="20"/>
          <w:szCs w:val="20"/>
        </w:rPr>
        <w:t xml:space="preserve">measurement_method</w:t>
      </w:r>
      <w:r>
        <w:t xml:space="preserve"> fields.</w:t>
      </w:r>
    </w:p>
    <w:p>
      <w:pPr>
        <w:spacing w:after="160" w:line="276"/>
      </w:pPr>
      <w:r>
        <w:rPr>
          <w:b/>
          <w:bCs/>
        </w:rPr>
        <w:t xml:space="preserve">4. </w:t>
      </w:r>
      <w:r>
        <w:t xml:space="preserve">Pick any logged action; recompute its SHA-256 over the recorded signals and confirm it matches.</w:t>
      </w:r>
    </w:p>
    <w:p>
      <w:pPr>
        <w:spacing w:after="160" w:line="276"/>
      </w:pPr>
      <w:r>
        <w:rPr>
          <w:b/>
          <w:bCs/>
        </w:rPr>
        <w:t xml:space="preserve">5. </w:t>
      </w:r>
      <w:r>
        <w:t xml:space="preserve">Grep for a central scheduler. There isn’t one — coordination is via shared traces.</w:t>
      </w:r>
    </w:p>
    <w:p>
      <w:pPr>
        <w:pBdr>
          <w:bottom w:val="single" w:color="2E75B6" w:sz="6" w:space="1"/>
        </w:pBdr>
        <w:spacing w:after="160"/>
      </w:pPr>
      <w:r>
        <w:t xml:space="preserve"/>
      </w:r>
    </w:p>
    <w:p>
      <w:pPr>
        <w:spacing w:after="40"/>
      </w:pPr>
      <w:r>
        <w:rPr>
          <w:b/>
          <w:bCs/>
        </w:rPr>
        <w:t xml:space="preserve">Contact: </w:t>
      </w:r>
      <w:r>
        <w:t xml:space="preserve">Ioan George Anton, Architect. Marketing liaison: Carlton. Source code and reproduction steps available on request under the project license.</w:t>
      </w:r>
    </w:p>
    <w:p>
      <w:pPr>
        <w:spacing w:after="160" w:line="276"/>
      </w:pPr>
      <w:r>
        <w:rPr>
          <w:i/>
          <w:iCs/>
          <w:color w:val="555555"/>
          <w:sz w:val="18"/>
          <w:szCs w:val="18"/>
        </w:rPr>
        <w:t xml:space="preserve">Honesty note: every quantitative claim in this brief is either reproducible with a standard macOS command or explicitly labeled as an estimate or a model. That distinction is the point.</w:t>
      </w:r>
    </w:p>
    <w:sectPr>
      <w:footerReference w:type="default" r:id="rId7"/>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SIFTA Technical Brief  ·  Confidential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0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160"/>
      <w:outlineLvl w:val="1"/>
    </w:pPr>
    <w:rPr>
      <w:rFonts w:ascii="Arial" w:cs="Arial" w:eastAsia="Arial" w:hAnsi="Arial"/>
      <w:b/>
      <w:b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2026-05-20T21:07:25.303Z</dcterms:created>
  <dcterms:modified xsi:type="dcterms:W3CDTF">2026-05-20T21:07:25.303Z</dcterms:modified>
</cp:coreProperties>
</file>

<file path=docProps/custom.xml><?xml version="1.0" encoding="utf-8"?>
<Properties xmlns="http://schemas.openxmlformats.org/officeDocument/2006/custom-properties" xmlns:vt="http://schemas.openxmlformats.org/officeDocument/2006/docPropsVTypes"/>
</file>