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32"/>
          <w:szCs w:val="32"/>
        </w:rPr>
        <w:t xml:space="preserve">SIFTA — Technical Brief for Engineering Review</w:t>
      </w:r>
    </w:p>
    <w:p>
      <w:pPr>
        <w:spacing w:after="60"/>
      </w:pPr>
      <w:r>
        <w:rPr>
          <w:i/>
          <w:iCs/>
          <w:color w:val="555555"/>
          <w:sz w:val="22"/>
          <w:szCs w:val="22"/>
        </w:rPr>
        <w:t xml:space="preserve">A local-first, energy-aware multi-agent runtime with cryptographically receipted actions</w:t>
      </w:r>
    </w:p>
    <w:p>
      <w:pPr>
        <w:spacing w:after="120"/>
      </w:pPr>
      <w:r>
        <w:rPr>
          <w:color w:val="555555"/>
          <w:sz w:val="18"/>
          <w:szCs w:val="18"/>
        </w:rPr>
        <w:t xml:space="preserve">Author: Ioan George Anton (Architect)   ·   Prepared for: prospective technical reviewer</w:t>
      </w:r>
    </w:p>
    <w:p>
      <w:pPr>
        <w:pBdr>
          <w:bottom w:val="single" w:color="2E75B6" w:sz="6" w:space="1"/>
        </w:pBdr>
        <w:spacing w:after="160"/>
      </w:pPr>
      <w:r>
        <w:t xml:space="preserve"/>
      </w:r>
    </w:p>
    <w:p>
      <w:pPr>
        <w:spacing w:after="160" w:line="276"/>
      </w:pPr>
      <w:r>
        <w:rPr>
          <w:b/>
          <w:bCs/>
        </w:rPr>
        <w:t xml:space="preserve">Purpose of this document. </w:t>
      </w:r>
      <w:r>
        <w:t xml:space="preserve">This brief is written for an engineer, not a marketer. It states plainly what SIFTA's software does, separates the claims you can verify on a Mac in minutes from the conceptual model behind the design, and tells you exactly how to check each one. If a claim cannot be reproduced with a standard macOS command, it is labeled as a model or an estimate, not a measurement.</w:t>
      </w:r>
    </w:p>
    <w:p>
      <w:pPr>
        <w:pStyle w:val="Heading1"/>
      </w:pPr>
      <w:r>
        <w:t xml:space="preserve">1. What SIFTA is, in one paragraph</w:t>
      </w:r>
    </w:p>
    <w:p>
      <w:pPr>
        <w:spacing w:after="160" w:line="276"/>
      </w:pPr>
      <w:r>
        <w:t xml:space="preserve">SIFTA is a local-first runtime that runs entirely on the owner's own Mac. Instead of one monolithic process, work is carried out by many small software agents that coordinate indirectly by reading and writing shared trace files — the same principle (</w:t>
      </w:r>
      <w:r>
        <w:rPr>
          <w:i/>
          <w:iCs/>
        </w:rPr>
        <w:t xml:space="preserve">stigmergy</w:t>
      </w:r>
      <w:r>
        <w:t xml:space="preserve">) that lets an ant colony organize without a boss. Two things make it unusual as engineering: (a) every meaningful action must first pass a gate that reads the machine's real thermal and power state and can refuse the work, and (b) every gated action emits a SHA-256 receipt over the sensor readings that authorized it, so the action log is tamper-evident. The system is designed so that energy and heat are first-class budget constraints, not afterthoughts.</w:t>
      </w:r>
    </w:p>
    <w:p>
      <w:pPr>
        <w:pStyle w:val="Heading1"/>
      </w:pPr>
      <w:r>
        <w:t xml:space="preserve">2. Claims you can verify in minutes</w:t>
      </w:r>
    </w:p>
    <w:p>
      <w:pPr>
        <w:spacing w:after="160" w:line="276"/>
      </w:pPr>
      <w:r>
        <w:t xml:space="preserve">Each row below is backed by code in the repository. The right column is how a reviewer reproduces it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3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Claim</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it actually is</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How to verify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Thermal-aware admission control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Before heavy work runs, the gate reads live thermal pressure and denies if the chip is too hot.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pmset -g therm and compare to the gate's recorded thermal_level.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Power-aware throttling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Gate reads battery charge + Low Power Mode and defers non-essential work on battery.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 pmset -g batt; toggle Low Power Mode and watch behavior 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Energy receipts with error bounds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Inference energy is watts x time, idle-baseline subtracted, with an explicit +/- bound. Refuses to sign if the meter is untrusted.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Inspect /api/inference_joule_receipt output: net_low / net_high and measurement_method.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Tamper-evident action log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Every gated action is sealed with a SHA-256 hash over its sensor readings + decision.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Recompute the hash from the logged signals; it must match.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Decentralized coordination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Independent software agents coordinate via shared traces (stigmergy) rather than a central controller.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 the trace ledgers; no central scheduler process exists.</w:t>
            </w:r>
          </w:p>
        </w:tc>
      </w:tr>
    </w:tbl>
    <w:p>
      <w:pPr>
        <w:spacing w:after="120"/>
      </w:pPr>
      <w:r>
        <w:t xml:space="preserve"/>
      </w:r>
    </w:p>
    <w:p>
      <w:pPr>
        <w:pStyle w:val="Heading1"/>
      </w:pPr>
      <w:r>
        <w:t xml:space="preserve">3. The two parts of the energy claim — read this carefully</w:t>
      </w:r>
    </w:p>
    <w:p>
      <w:pPr>
        <w:spacing w:after="160" w:line="276"/>
      </w:pPr>
      <w:r>
        <w:t xml:space="preserve">The most common misunderstanding is around energy in joules, so we are explicit. There are </w:t>
      </w:r>
      <w:r>
        <w:rPr>
          <w:b/>
          <w:bCs/>
        </w:rPr>
        <w:t xml:space="preserve">two separate pathways</w:t>
      </w:r>
      <w:r>
        <w:t xml:space="preserve">, and we do not treat them as equal.</w:t>
      </w:r>
    </w:p>
    <w:p>
      <w:pPr>
        <w:spacing w:after="160" w:line="276"/>
      </w:pPr>
      <w:r>
        <w:rPr>
          <w:b/>
          <w:bCs/>
        </w:rPr>
        <w:t xml:space="preserve">Estimated energy (heuristic). </w:t>
      </w:r>
      <w:r>
        <w:t xml:space="preserve">A lightweight cost estimate derived from token counts and CPU load. It is useful for internal budgeting only. It is labeled as an estimate everywhere it appears and is never presented as a measurement.</w:t>
      </w:r>
    </w:p>
    <w:p>
      <w:pPr>
        <w:spacing w:after="160" w:line="276"/>
      </w:pPr>
      <w:r>
        <w:rPr>
          <w:b/>
          <w:bCs/>
        </w:rPr>
        <w:t xml:space="preserve">Measured energy (metered). </w:t>
      </w:r>
      <w:r>
        <w:t xml:space="preserve">The </w:t>
      </w:r>
      <w:r>
        <w:rPr>
          <w:rFonts w:ascii="Courier New" w:cs="Courier New" w:eastAsia="Courier New" w:hAnsi="Courier New"/>
          <w:sz w:val="20"/>
          <w:szCs w:val="20"/>
        </w:rPr>
        <w:t xml:space="preserve">/api/inference_joule_receipt</w:t>
      </w:r>
      <w:r>
        <w:t xml:space="preserve"> endpoint reads device power before and after an inference, integrates it as watts x time (trapezoidal), subtracts an idle baseline, and attaches an explicit error bound (a low/high range). Critically, if the power source is not a trusted meter, the endpoint </w:t>
      </w:r>
      <w:r>
        <w:rPr>
          <w:b/>
          <w:bCs/>
        </w:rPr>
        <w:t xml:space="preserve">refuses to issue a receipt</w:t>
      </w:r>
      <w:r>
        <w:t xml:space="preserve"> (HTTP 503) and self-labels its method as </w:t>
      </w:r>
      <w:r>
        <w:rPr>
          <w:rFonts w:ascii="Courier New" w:cs="Courier New" w:eastAsia="Courier New" w:hAnsi="Courier New"/>
          <w:sz w:val="20"/>
          <w:szCs w:val="20"/>
        </w:rPr>
        <w:t xml:space="preserve">cpu_load_estimated</w:t>
      </w:r>
      <w:r>
        <w:t xml:space="preserve"> rather than inventing a number. Real metering on Apple Silicon uses </w:t>
      </w:r>
      <w:r>
        <w:rPr>
          <w:rFonts w:ascii="Courier New" w:cs="Courier New" w:eastAsia="Courier New" w:hAnsi="Courier New"/>
          <w:sz w:val="20"/>
          <w:szCs w:val="20"/>
        </w:rPr>
        <w:t xml:space="preserve">powermetrics --samplers smc</w:t>
      </w:r>
      <w:r>
        <w:t xml:space="preserve">, which requires a one-time privileged install. Where that meter is not active, energy values are reported as estimates, by design.</w:t>
      </w:r>
    </w:p>
    <w:p>
      <w:pPr>
        <w:spacing w:after="160" w:line="276"/>
      </w:pPr>
      <w:r>
        <w:rPr>
          <w:b/>
          <w:bCs/>
        </w:rPr>
        <w:t xml:space="preserve">Bottom line for a reviewer: </w:t>
      </w:r>
      <w:r>
        <w:t xml:space="preserve">thermal pressure is genuinely measured (via </w:t>
      </w:r>
      <w:r>
        <w:rPr>
          <w:rFonts w:ascii="Courier New" w:cs="Courier New" w:eastAsia="Courier New" w:hAnsi="Courier New"/>
          <w:sz w:val="20"/>
          <w:szCs w:val="20"/>
        </w:rPr>
        <w:t xml:space="preserve">pmset -g therm</w:t>
      </w:r>
      <w:r>
        <w:t xml:space="preserve">); joule figures are honest about whether they are metered or estimated, and the system would rather say “I don’t know” than fabricate a measurement.</w:t>
      </w:r>
    </w:p>
    <w:p>
      <w:pPr>
        <w:pageBreakBefore/>
      </w:pPr>
      <w:r>
        <w:t xml:space="preserve"/>
      </w:r>
    </w:p>
    <w:p>
      <w:pPr>
        <w:pStyle w:val="Heading1"/>
      </w:pPr>
      <w:r>
        <w:t xml:space="preserve">4. The design model and how to read it</w:t>
      </w:r>
    </w:p>
    <w:p>
      <w:pPr>
        <w:spacing w:after="160" w:line="276"/>
      </w:pPr>
      <w:r>
        <w:t xml:space="preserve">SIFTA is designed using a biological and physical vocabulary: small agents are called “swimmers,” groups of them are “organs,” and the shared trace space is a “field.” This vocabulary is a </w:t>
      </w:r>
      <w:r>
        <w:rPr>
          <w:b/>
          <w:bCs/>
        </w:rPr>
        <w:t xml:space="preserve">design model</w:t>
      </w:r>
      <w:r>
        <w:t xml:space="preserve"> — a way of reasoning about decentralized coordination. The software is </w:t>
      </w:r>
      <w:r>
        <w:rPr>
          <w:b/>
          <w:bCs/>
        </w:rPr>
        <w:t xml:space="preserve">grounded in</w:t>
      </w:r>
      <w:r>
        <w:t xml:space="preserve"> thermodynamics, swarm biology, stigmergy, and math, and it </w:t>
      </w:r>
      <w:r>
        <w:rPr>
          <w:b/>
          <w:bCs/>
        </w:rPr>
        <w:t xml:space="preserve">measures and responds to</w:t>
      </w:r>
      <w:r>
        <w:t xml:space="preserve"> real physical quantities. Its verifiable claims are stated at the level of software and measured quantities; whether the underlying patterns amount to deeper scientific novelty is for reviewers to assess from the evidence, not something this brief asserts either way. Keeping that line clear is what makes the verifiable claims in Section 2 trustworthy.</w:t>
      </w:r>
    </w:p>
    <w:p>
      <w:pPr>
        <w:spacing w:after="160" w:line="276"/>
      </w:pPr>
      <w:r>
        <w:rPr>
          <w:b/>
          <w:bCs/>
        </w:rPr>
        <w:t xml:space="preserve">Why the model is useful. </w:t>
      </w:r>
      <w:r>
        <w:t xml:space="preserve">Decentralized, trace-based coordination is a well-established idea (stigmergy, swarm intelligence, ant colony optimization). Treating heat and energy as hard constraints that can veto work is a sound engineering response to thermal and battery limits on a single machine. The biological framing makes a large system of cooperating agents easier to reason about, extend, and audit.</w:t>
      </w:r>
    </w:p>
    <w:p>
      <w:pPr>
        <w:spacing w:after="160" w:line="276"/>
      </w:pPr>
      <w:r>
        <w:rPr>
          <w:b/>
          <w:bCs/>
        </w:rPr>
        <w:t xml:space="preserve">How the parts relate, precisely. </w:t>
      </w:r>
      <w:r>
        <w:t xml:space="preserve">In the running code, thermodynamic verification works in tandem with the cryptographic signature: the live thermal reading is one </w:t>
      </w:r>
      <w:r>
        <w:rPr>
          <w:i/>
          <w:iCs/>
        </w:rPr>
        <w:t xml:space="preserve">input</w:t>
      </w:r>
      <w:r>
        <w:t xml:space="preserve"> to the decision, and the SHA-256 hash is a separate </w:t>
      </w:r>
      <w:r>
        <w:rPr>
          <w:i/>
          <w:iCs/>
        </w:rPr>
        <w:t xml:space="preserve">seal</w:t>
      </w:r>
      <w:r>
        <w:t xml:space="preserve"> over that decision and its signals — two distinct steps that operate together. STGM is the unit of account on a </w:t>
      </w:r>
      <w:r>
        <w:rPr>
          <w:b/>
          <w:bCs/>
        </w:rPr>
        <w:t xml:space="preserve">no-double-spend ledger</w:t>
      </w:r>
      <w:r>
        <w:t xml:space="preserve">: each spend carries a SHA-256 attribution key (over organ, trace, source ledger, and tick) that prevents the same economic event from being counted twice — cryptographic scarcity, comparable to how Bitcoin prevents double-spending. In the inference economy STGM is priced against measured joules. STGM is therefore not itself a physical quantity like a joule, but its scarcity is real and enforced, and it is energy-pegged.</w:t>
      </w:r>
    </w:p>
    <w:p>
      <w:pPr>
        <w:pStyle w:val="Heading1"/>
      </w:pPr>
      <w:r>
        <w:t xml:space="preserve">5. What an independent engineer would actually find</w:t>
      </w:r>
    </w:p>
    <w:p>
      <w:pPr>
        <w:spacing w:after="160" w:line="276"/>
      </w:pPr>
      <w:r>
        <w:t xml:space="preserve">A competent reviewer reading the code will find a genuine multi-agent runtime: an admission-control gate driven by real OS telemetry, a no-double-spend energy-pegged ledger, a signed/receipted action log, an energy-accounting service with error bounds and an honest refusal path, and a test suite. We ask them to verify the engineering claims in Section 2 — all of which are reproducible on a Mac — and to evaluate the architecture on its merits. What those patterns add up to scientifically is for the reviewer to judge from the evidence; this brief asserts only what can be reproduced.</w:t>
      </w:r>
    </w:p>
    <w:p>
      <w:pPr>
        <w:pStyle w:val="Heading1"/>
      </w:pPr>
      <w:r>
        <w:t xml:space="preserve">6. Suggested 30-minute evaluation path</w:t>
      </w:r>
    </w:p>
    <w:p>
      <w:pPr>
        <w:spacing w:after="160" w:line="276"/>
      </w:pPr>
      <w:r>
        <w:rPr>
          <w:b/>
          <w:bCs/>
        </w:rPr>
        <w:t xml:space="preserve">1. </w:t>
      </w:r>
      <w:r>
        <w:rPr>
          <w:rFonts w:ascii="Courier New" w:cs="Courier New" w:eastAsia="Courier New" w:hAnsi="Courier New"/>
          <w:sz w:val="20"/>
          <w:szCs w:val="20"/>
        </w:rPr>
        <w:t xml:space="preserve">pmset -g therm</w:t>
      </w:r>
      <w:r>
        <w:t xml:space="preserve">  — confirm the thermal source the gate reads is real.</w:t>
      </w:r>
    </w:p>
    <w:p>
      <w:pPr>
        <w:spacing w:after="160" w:line="276"/>
      </w:pPr>
      <w:r>
        <w:rPr>
          <w:b/>
          <w:bCs/>
        </w:rPr>
        <w:t xml:space="preserve">2. </w:t>
      </w:r>
      <w:r>
        <w:t xml:space="preserve">Trigger a heavy task while the machine is warm; confirm the gate defers it and logs a denial row.</w:t>
      </w:r>
    </w:p>
    <w:p>
      <w:pPr>
        <w:spacing w:after="160" w:line="276"/>
      </w:pPr>
      <w:r>
        <w:rPr>
          <w:b/>
          <w:bCs/>
        </w:rPr>
        <w:t xml:space="preserve">3. </w:t>
      </w:r>
      <w:r>
        <w:t xml:space="preserve">Call the inference endpoint; inspect the receipt's </w:t>
      </w:r>
      <w:r>
        <w:rPr>
          <w:rFonts w:ascii="Courier New" w:cs="Courier New" w:eastAsia="Courier New" w:hAnsi="Courier New"/>
          <w:sz w:val="20"/>
          <w:szCs w:val="20"/>
        </w:rPr>
        <w:t xml:space="preserve">net_low / net_high</w:t>
      </w:r>
      <w:r>
        <w:t xml:space="preserve"> and </w:t>
      </w:r>
      <w:r>
        <w:rPr>
          <w:rFonts w:ascii="Courier New" w:cs="Courier New" w:eastAsia="Courier New" w:hAnsi="Courier New"/>
          <w:sz w:val="20"/>
          <w:szCs w:val="20"/>
        </w:rPr>
        <w:t xml:space="preserve">measurement_method</w:t>
      </w:r>
      <w:r>
        <w:t xml:space="preserve"> fields.</w:t>
      </w:r>
    </w:p>
    <w:p>
      <w:pPr>
        <w:spacing w:after="160" w:line="276"/>
      </w:pPr>
      <w:r>
        <w:rPr>
          <w:b/>
          <w:bCs/>
        </w:rPr>
        <w:t xml:space="preserve">4. </w:t>
      </w:r>
      <w:r>
        <w:t xml:space="preserve">Pick any logged action; recompute its SHA-256 over the recorded signals and confirm it matches.</w:t>
      </w:r>
    </w:p>
    <w:p>
      <w:pPr>
        <w:spacing w:after="160" w:line="276"/>
      </w:pPr>
      <w:r>
        <w:rPr>
          <w:b/>
          <w:bCs/>
        </w:rPr>
        <w:t xml:space="preserve">5. </w:t>
      </w:r>
      <w:r>
        <w:t xml:space="preserve">Grep for a central scheduler. There isn’t one — coordination is via shared traces.</w:t>
      </w:r>
    </w:p>
    <w:p>
      <w:pPr>
        <w:pBdr>
          <w:bottom w:val="single" w:color="2E75B6" w:sz="6" w:space="1"/>
        </w:pBdr>
        <w:spacing w:after="160"/>
      </w:pPr>
      <w:r>
        <w:t xml:space="preserve"/>
      </w:r>
    </w:p>
    <w:p>
      <w:pPr>
        <w:spacing w:after="40"/>
      </w:pPr>
      <w:r>
        <w:rPr>
          <w:b/>
          <w:bCs/>
        </w:rPr>
        <w:t xml:space="preserve">Contact: </w:t>
      </w:r>
      <w:r>
        <w:t xml:space="preserve">Ioan George Anton, Architect. Marketing liaison: Carlton. Source code and reproduction steps available on request under the project license.</w:t>
      </w:r>
    </w:p>
    <w:p>
      <w:pPr>
        <w:spacing w:after="160" w:line="276"/>
      </w:pPr>
      <w:r>
        <w:rPr>
          <w:i/>
          <w:iCs/>
          <w:color w:val="555555"/>
          <w:sz w:val="18"/>
          <w:szCs w:val="18"/>
        </w:rPr>
        <w:t xml:space="preserve">Honesty note: every quantitative claim in this brief is either reproducible with a standard macOS command or explicitly labeled as an estimate or a model. That distinction is the point.</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SIFTA Technical Brief  ·  Confidential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2026-05-20T21:29:29.860Z</dcterms:created>
  <dcterms:modified xsi:type="dcterms:W3CDTF">2026-05-20T21:29:29.860Z</dcterms:modified>
</cp:coreProperties>
</file>

<file path=docProps/custom.xml><?xml version="1.0" encoding="utf-8"?>
<Properties xmlns="http://schemas.openxmlformats.org/officeDocument/2006/custom-properties" xmlns:vt="http://schemas.openxmlformats.org/officeDocument/2006/docPropsVTypes"/>
</file>