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60" w:lineRule="auto"/>
        <w:jc w:val="center"/>
      </w:pPr>
      <w:r>
        <w:rPr>
          <w:rFonts w:ascii="Times New Roman" w:hAnsi="Times New Roman" w:eastAsia="Times New Roman"/>
          <w:b/>
          <w:i w:val="0"/>
          <w:sz w:val="28"/>
        </w:rPr>
        <w:t>RENCANA USULAN PENELITIAN DISERTASI DOKTORAL (OPSI 2)</w:t>
      </w:r>
    </w:p>
    <w:p>
      <w:pPr>
        <w:spacing w:before="0" w:after="280" w:line="360" w:lineRule="auto"/>
        <w:jc w:val="center"/>
      </w:pPr>
      <w:r>
        <w:rPr>
          <w:rFonts w:ascii="Times New Roman" w:hAnsi="Times New Roman" w:eastAsia="Times New Roman"/>
          <w:b/>
          <w:i w:val="0"/>
          <w:sz w:val="24"/>
        </w:rPr>
        <w:t>PROGRAM DOKTOR ILMU KOMPUTER (PDIK)</w:t>
        <w:br/>
        <w:t>FAKULTAS ILMU KOMPUTER - UNIVERSITAS DIAN NUSWANTORO</w:t>
      </w:r>
    </w:p>
    <w:tbl>
      <w:tblPr>
        <w:tblW w:type="auto" w:w="0"/>
        <w:jc w:val="center"/>
        <w:tblLayout w:type="fixed"/>
        <w:tblLook w:firstColumn="1" w:firstRow="1" w:lastColumn="0" w:lastRow="0" w:noHBand="0" w:noVBand="1" w:val="04A0"/>
      </w:tblPr>
      <w:tblGrid>
        <w:gridCol w:w="4252"/>
        <w:gridCol w:w="4252"/>
      </w:tblGrid>
      <w:tr>
        <w:tc>
          <w:tcPr>
            <w:tcW w:type="dxa" w:w="2551"/>
            <w:shd w:fill="F4F6F7" w:val="clear"/>
            <w:tcMar>
              <w:top w:w="100" w:type="dxa"/>
              <w:bottom w:w="100" w:type="dxa"/>
              <w:left w:w="120" w:type="dxa"/>
              <w:right w:w="120" w:type="dxa"/>
            </w:tcMar>
          </w:tcPr>
          <w:p>
            <w:r>
              <w:rPr>
                <w:rFonts w:ascii="Times New Roman" w:hAnsi="Times New Roman" w:eastAsia="Times New Roman"/>
                <w:b/>
                <w:i w:val="0"/>
                <w:sz w:val="21"/>
              </w:rPr>
              <w:t>Judul Disertasi (ID) :</w:t>
            </w:r>
          </w:p>
        </w:tc>
        <w:tc>
          <w:tcPr>
            <w:tcW w:type="dxa" w:w="5953"/>
            <w:shd w:fill="F4F6F7" w:val="clear"/>
            <w:tcMar>
              <w:top w:w="100" w:type="dxa"/>
              <w:bottom w:w="100" w:type="dxa"/>
              <w:left w:w="120" w:type="dxa"/>
              <w:right w:w="120" w:type="dxa"/>
            </w:tcMar>
          </w:tcPr>
          <w:p>
            <w:r>
              <w:rPr>
                <w:rFonts w:ascii="Times New Roman" w:hAnsi="Times New Roman" w:eastAsia="Times New Roman"/>
                <w:b/>
                <w:i w:val="0"/>
                <w:sz w:val="21"/>
              </w:rPr>
              <w:t>Kerangka Kerja Adopsi Sistem Informasi Cerdas Berbasis AI Agent dan Teori Respon Dinamis untuk Layanan Publik Terintegrasi</w:t>
            </w:r>
          </w:p>
        </w:tc>
      </w:tr>
      <w:tr>
        <w:tc>
          <w:tcPr>
            <w:tcW w:type="dxa" w:w="2551"/>
            <w:shd w:fill="F4F6F7" w:val="clear"/>
            <w:tcMar>
              <w:top w:w="100" w:type="dxa"/>
              <w:bottom w:w="100" w:type="dxa"/>
              <w:left w:w="120" w:type="dxa"/>
              <w:right w:w="120" w:type="dxa"/>
            </w:tcMar>
          </w:tcPr>
          <w:p>
            <w:r>
              <w:rPr>
                <w:rFonts w:ascii="Times New Roman" w:hAnsi="Times New Roman" w:eastAsia="Times New Roman"/>
                <w:b/>
                <w:i w:val="0"/>
                <w:sz w:val="21"/>
              </w:rPr>
              <w:t>Research Title (EN) :</w:t>
            </w:r>
          </w:p>
        </w:tc>
        <w:tc>
          <w:tcPr>
            <w:tcW w:type="dxa" w:w="5953"/>
            <w:shd w:fill="F4F6F7" w:val="clear"/>
            <w:tcMar>
              <w:top w:w="100" w:type="dxa"/>
              <w:bottom w:w="100" w:type="dxa"/>
              <w:left w:w="120" w:type="dxa"/>
              <w:right w:w="120" w:type="dxa"/>
            </w:tcMar>
          </w:tcPr>
          <w:p>
            <w:r>
              <w:rPr>
                <w:rFonts w:ascii="Times New Roman" w:hAnsi="Times New Roman" w:eastAsia="Times New Roman"/>
                <w:b w:val="0"/>
                <w:i/>
                <w:sz w:val="21"/>
              </w:rPr>
              <w:t>Intelligent Information System Adoption Framework Based on AI Agents and Dynamic Response Theory for Integrated Public Services</w:t>
            </w:r>
          </w:p>
        </w:tc>
      </w:tr>
    </w:tbl>
    <w:p>
      <w:pPr>
        <w:spacing w:after="160"/>
      </w:pPr>
    </w:p>
    <w:tbl>
      <w:tblPr>
        <w:tblW w:type="auto" w:w="0"/>
        <w:jc w:val="center"/>
        <w:tblLook w:firstColumn="1" w:firstRow="1" w:lastColumn="0" w:lastRow="0" w:noHBand="0" w:noVBand="1" w:val="04A0"/>
      </w:tblPr>
      <w:tblGrid>
        <w:gridCol w:w="4252"/>
        <w:gridCol w:w="4252"/>
      </w:tblGrid>
      <w:tr>
        <w:tc>
          <w:tcPr>
            <w:tcW w:type="dxa" w:w="2551"/>
            <w:tcMar>
              <w:top w:w="50" w:type="dxa"/>
              <w:bottom w:w="50" w:type="dxa"/>
              <w:left w:w="100" w:type="dxa"/>
              <w:right w:w="100" w:type="dxa"/>
            </w:tcMar>
          </w:tcPr>
          <w:p>
            <w:r>
              <w:rPr>
                <w:rFonts w:ascii="Times New Roman" w:hAnsi="Times New Roman" w:eastAsia="Times New Roman"/>
                <w:b/>
                <w:i w:val="0"/>
                <w:sz w:val="19"/>
              </w:rPr>
              <w:t>Nama Lengkap</w:t>
            </w:r>
          </w:p>
        </w:tc>
        <w:tc>
          <w:tcPr>
            <w:tcW w:type="dxa" w:w="5953"/>
            <w:tcMar>
              <w:top w:w="50" w:type="dxa"/>
              <w:bottom w:w="50" w:type="dxa"/>
              <w:left w:w="100" w:type="dxa"/>
              <w:right w:w="100" w:type="dxa"/>
            </w:tcMar>
          </w:tcPr>
          <w:p>
            <w:r>
              <w:rPr>
                <w:rFonts w:ascii="Times New Roman" w:hAnsi="Times New Roman" w:eastAsia="Times New Roman"/>
                <w:b w:val="0"/>
                <w:i w:val="0"/>
                <w:sz w:val="19"/>
              </w:rPr>
              <w:t>Hario Jati Setyadi, S.Kom., M.Kom.</w:t>
            </w:r>
          </w:p>
        </w:tc>
      </w:tr>
      <w:tr>
        <w:tc>
          <w:tcPr>
            <w:tcW w:type="dxa" w:w="2551"/>
            <w:tcMar>
              <w:top w:w="50" w:type="dxa"/>
              <w:bottom w:w="50" w:type="dxa"/>
              <w:left w:w="100" w:type="dxa"/>
              <w:right w:w="100" w:type="dxa"/>
            </w:tcMar>
          </w:tcPr>
          <w:p>
            <w:r>
              <w:rPr>
                <w:rFonts w:ascii="Times New Roman" w:hAnsi="Times New Roman" w:eastAsia="Times New Roman"/>
                <w:b/>
                <w:i w:val="0"/>
                <w:sz w:val="19"/>
              </w:rPr>
              <w:t>Nomor Induk Pegawai (NIP)</w:t>
            </w:r>
          </w:p>
        </w:tc>
        <w:tc>
          <w:tcPr>
            <w:tcW w:type="dxa" w:w="5953"/>
            <w:tcMar>
              <w:top w:w="50" w:type="dxa"/>
              <w:bottom w:w="50" w:type="dxa"/>
              <w:left w:w="100" w:type="dxa"/>
              <w:right w:w="100" w:type="dxa"/>
            </w:tcMar>
          </w:tcPr>
          <w:p>
            <w:r>
              <w:rPr>
                <w:rFonts w:ascii="Times New Roman" w:hAnsi="Times New Roman" w:eastAsia="Times New Roman"/>
                <w:b w:val="0"/>
                <w:i w:val="0"/>
                <w:sz w:val="19"/>
              </w:rPr>
              <w:t>198612182019031007 (NIDN: 0018128604 / Lektor PNS Kemdiktisaintek)</w:t>
            </w:r>
          </w:p>
        </w:tc>
      </w:tr>
      <w:tr>
        <w:tc>
          <w:tcPr>
            <w:tcW w:type="dxa" w:w="2551"/>
            <w:tcMar>
              <w:top w:w="50" w:type="dxa"/>
              <w:bottom w:w="50" w:type="dxa"/>
              <w:left w:w="100" w:type="dxa"/>
              <w:right w:w="100" w:type="dxa"/>
            </w:tcMar>
          </w:tcPr>
          <w:p>
            <w:r>
              <w:rPr>
                <w:rFonts w:ascii="Times New Roman" w:hAnsi="Times New Roman" w:eastAsia="Times New Roman"/>
                <w:b/>
                <w:i w:val="0"/>
                <w:sz w:val="19"/>
              </w:rPr>
              <w:t>Perguruan Tinggi Asal</w:t>
            </w:r>
          </w:p>
        </w:tc>
        <w:tc>
          <w:tcPr>
            <w:tcW w:type="dxa" w:w="5953"/>
            <w:tcMar>
              <w:top w:w="50" w:type="dxa"/>
              <w:bottom w:w="50" w:type="dxa"/>
              <w:left w:w="100" w:type="dxa"/>
              <w:right w:w="100" w:type="dxa"/>
            </w:tcMar>
          </w:tcPr>
          <w:p>
            <w:r>
              <w:rPr>
                <w:rFonts w:ascii="Times New Roman" w:hAnsi="Times New Roman" w:eastAsia="Times New Roman"/>
                <w:b w:val="0"/>
                <w:i w:val="0"/>
                <w:sz w:val="19"/>
              </w:rPr>
              <w:t>Universitas Mulawarman (Fakultas Teknik / S1 Sistem Informasi &amp; Informatika)</w:t>
            </w:r>
          </w:p>
        </w:tc>
      </w:tr>
      <w:tr>
        <w:tc>
          <w:tcPr>
            <w:tcW w:type="dxa" w:w="2551"/>
            <w:tcMar>
              <w:top w:w="50" w:type="dxa"/>
              <w:bottom w:w="50" w:type="dxa"/>
              <w:left w:w="100" w:type="dxa"/>
              <w:right w:w="100" w:type="dxa"/>
            </w:tcMar>
          </w:tcPr>
          <w:p>
            <w:r>
              <w:rPr>
                <w:rFonts w:ascii="Times New Roman" w:hAnsi="Times New Roman" w:eastAsia="Times New Roman"/>
                <w:b/>
                <w:i w:val="0"/>
                <w:sz w:val="19"/>
              </w:rPr>
              <w:t>Jabatan Organisasi Profesi</w:t>
            </w:r>
          </w:p>
        </w:tc>
        <w:tc>
          <w:tcPr>
            <w:tcW w:type="dxa" w:w="5953"/>
            <w:tcMar>
              <w:top w:w="50" w:type="dxa"/>
              <w:bottom w:w="50" w:type="dxa"/>
              <w:left w:w="100" w:type="dxa"/>
              <w:right w:w="100" w:type="dxa"/>
            </w:tcMar>
          </w:tcPr>
          <w:p>
            <w:r>
              <w:rPr>
                <w:rFonts w:ascii="Times New Roman" w:hAnsi="Times New Roman" w:eastAsia="Times New Roman"/>
                <w:b w:val="0"/>
                <w:i w:val="0"/>
                <w:sz w:val="19"/>
              </w:rPr>
              <w:t>Ketua APTIKOM Provinsi Kalimantan Timur (Periode 2026–2030)</w:t>
            </w:r>
          </w:p>
        </w:tc>
      </w:tr>
      <w:tr>
        <w:tc>
          <w:tcPr>
            <w:tcW w:type="dxa" w:w="2551"/>
            <w:tcMar>
              <w:top w:w="50" w:type="dxa"/>
              <w:bottom w:w="50" w:type="dxa"/>
              <w:left w:w="100" w:type="dxa"/>
              <w:right w:w="100" w:type="dxa"/>
            </w:tcMar>
          </w:tcPr>
          <w:p>
            <w:r>
              <w:rPr>
                <w:rFonts w:ascii="Times New Roman" w:hAnsi="Times New Roman" w:eastAsia="Times New Roman"/>
                <w:b/>
                <w:i w:val="0"/>
                <w:sz w:val="19"/>
              </w:rPr>
              <w:t>Pendidikan S2</w:t>
            </w:r>
          </w:p>
        </w:tc>
        <w:tc>
          <w:tcPr>
            <w:tcW w:type="dxa" w:w="5953"/>
            <w:tcMar>
              <w:top w:w="50" w:type="dxa"/>
              <w:bottom w:w="50" w:type="dxa"/>
              <w:left w:w="100" w:type="dxa"/>
              <w:right w:w="100" w:type="dxa"/>
            </w:tcMar>
          </w:tcPr>
          <w:p>
            <w:r>
              <w:rPr>
                <w:rFonts w:ascii="Times New Roman" w:hAnsi="Times New Roman" w:eastAsia="Times New Roman"/>
                <w:b w:val="0"/>
                <w:i w:val="0"/>
                <w:sz w:val="19"/>
              </w:rPr>
              <w:t>Magister Teknik Informatika (MTI) Konsentrasi Sistem Informasi, ITS Surabaya</w:t>
            </w:r>
          </w:p>
        </w:tc>
      </w:tr>
      <w:tr>
        <w:tc>
          <w:tcPr>
            <w:tcW w:type="dxa" w:w="2551"/>
            <w:tcMar>
              <w:top w:w="50" w:type="dxa"/>
              <w:bottom w:w="50" w:type="dxa"/>
              <w:left w:w="100" w:type="dxa"/>
              <w:right w:w="100" w:type="dxa"/>
            </w:tcMar>
          </w:tcPr>
          <w:p>
            <w:r>
              <w:rPr>
                <w:rFonts w:ascii="Times New Roman" w:hAnsi="Times New Roman" w:eastAsia="Times New Roman"/>
                <w:b/>
                <w:i w:val="0"/>
                <w:sz w:val="19"/>
              </w:rPr>
              <w:t>Rekam Jejak Publikasi</w:t>
            </w:r>
          </w:p>
        </w:tc>
        <w:tc>
          <w:tcPr>
            <w:tcW w:type="dxa" w:w="5953"/>
            <w:tcMar>
              <w:top w:w="50" w:type="dxa"/>
              <w:bottom w:w="50" w:type="dxa"/>
              <w:left w:w="100" w:type="dxa"/>
              <w:right w:w="100" w:type="dxa"/>
            </w:tcMar>
          </w:tcPr>
          <w:p>
            <w:r>
              <w:rPr>
                <w:rFonts w:ascii="Times New Roman" w:hAnsi="Times New Roman" w:eastAsia="Times New Roman"/>
                <w:b w:val="0"/>
                <w:i w:val="0"/>
                <w:sz w:val="19"/>
              </w:rPr>
              <w:t>SINTA ID: 6654665 | Scopus ID: 57201347811 (h-index: 10, 89+ Publikasi, 340+ Sitasi)</w:t>
            </w:r>
          </w:p>
        </w:tc>
      </w:tr>
    </w:tbl>
    <w:p>
      <w:pPr>
        <w:spacing w:after="240"/>
      </w:pPr>
    </w:p>
    <w:p>
      <w:pPr>
        <w:keepNext/>
        <w:spacing w:before="280" w:after="80"/>
      </w:pPr>
      <w:r>
        <w:rPr>
          <w:rFonts w:ascii="Times New Roman" w:hAnsi="Times New Roman" w:eastAsia="Times New Roman"/>
          <w:b/>
          <w:i w:val="0"/>
          <w:sz w:val="24"/>
        </w:rPr>
        <w:t>1. LATAR BELAKANG MASALAH</w:t>
      </w:r>
    </w:p>
    <w:p>
      <w:pPr>
        <w:spacing w:before="0" w:after="120" w:line="360" w:lineRule="auto"/>
        <w:jc w:val="both"/>
      </w:pPr>
      <w:r>
        <w:rPr>
          <w:rFonts w:ascii="Times New Roman" w:hAnsi="Times New Roman" w:eastAsia="Times New Roman"/>
          <w:b w:val="0"/>
          <w:i w:val="0"/>
          <w:sz w:val="24"/>
        </w:rPr>
        <w:t>Akselerasi transformasi digital sektor publik di Indonesia—sebagaimana dimandatkan dalam Perpres tentang Sistem Pemerintahan Berbasis Elektronik (SPBE) serta pembangunan ekosistem Smart City &amp; Smart Governance di Ibu Kota Nusantara (IKN) Kalimantan Timur—telah mendorong penggabungan ribuan aplikasi sektoral menjadi Portal Layanan Publik Terintegrasi (Integrated Public Service Portals).</w:t>
      </w:r>
    </w:p>
    <w:p>
      <w:pPr>
        <w:spacing w:before="0" w:after="120" w:line="360" w:lineRule="auto"/>
        <w:jc w:val="both"/>
      </w:pPr>
      <w:r>
        <w:rPr>
          <w:rFonts w:ascii="Times New Roman" w:hAnsi="Times New Roman" w:eastAsia="Times New Roman"/>
          <w:b w:val="0"/>
          <w:i w:val="0"/>
          <w:sz w:val="24"/>
        </w:rPr>
        <w:t>Meskipun integrasi sistem secara teknologi telah terwujud, keberhasilan implementasi SPBE di lapangan menghadapi hambatan besar terkait Tingkat Adopsi, Retensi, dan Kepuasan Pengguna (User Adoption &amp; Retention Crisis):</w:t>
      </w:r>
    </w:p>
    <w:p>
      <w:pPr>
        <w:spacing w:before="0" w:after="120" w:line="360" w:lineRule="auto"/>
        <w:jc w:val="both"/>
      </w:pPr>
      <w:r>
        <w:rPr>
          <w:rFonts w:ascii="Times New Roman" w:hAnsi="Times New Roman" w:eastAsia="Times New Roman"/>
          <w:b w:val="0"/>
          <w:i w:val="0"/>
          <w:sz w:val="24"/>
        </w:rPr>
        <w:t>1. Keterbatasan Teori Adopsi Konvensional yang Bersifat Statis: Model adopsi sistem informasi klasik (TAM, UTAUT, DeLone &amp; McLean) hanya mengevaluasi faktor penerimaan secara pasif dan retrospektif melalui kuesioner pasca-penggunaan tanpa mampu merespons kebingungan atau kegagalan pengguna saat sesi interaksi sedang berlangsung.</w:t>
      </w:r>
    </w:p>
    <w:p>
      <w:pPr>
        <w:spacing w:before="0" w:after="120" w:line="360" w:lineRule="auto"/>
        <w:jc w:val="both"/>
      </w:pPr>
      <w:r>
        <w:rPr>
          <w:rFonts w:ascii="Times New Roman" w:hAnsi="Times New Roman" w:eastAsia="Times New Roman"/>
          <w:b w:val="0"/>
          <w:i w:val="0"/>
          <w:sz w:val="24"/>
        </w:rPr>
        <w:t>2. Tingginya Tingkat Kegagalan Transaksi (High Service Drop-Off Rate): Masyarakat dan aparatur sipil sering kali meninggalkan proses layanan perizinan terpadu karena kerumitan alur birokrasi, ambiguitas berkas, dan ketiadaan asistensi kontekstual waktu-nyata.</w:t>
      </w:r>
    </w:p>
    <w:p>
      <w:pPr>
        <w:spacing w:before="0" w:after="120" w:line="360" w:lineRule="auto"/>
        <w:jc w:val="both"/>
      </w:pPr>
      <w:r>
        <w:rPr>
          <w:rFonts w:ascii="Times New Roman" w:hAnsi="Times New Roman" w:eastAsia="Times New Roman"/>
          <w:b w:val="0"/>
          <w:i w:val="0"/>
          <w:sz w:val="24"/>
        </w:rPr>
        <w:t>3. Peluang Orkestrasi Autonomous AI Agents: Kemunculan arsitektur Autonomous AI Agents yang mampu bernalar, membagi peran terdistribusi, memvalidasi dokumen secara cerdas, dan mengeksekusi tindakan adaptif menyajikan terobosan baru untuk mengubah portal layanan publik menjadi ekosistem layanan cerdas yang proaktif (Proactive &amp; Self-Assisting Public Services).</w:t>
      </w:r>
    </w:p>
    <w:p>
      <w:pPr>
        <w:spacing w:before="0" w:after="120" w:line="360" w:lineRule="auto"/>
        <w:jc w:val="both"/>
      </w:pPr>
      <w:r>
        <w:rPr>
          <w:rFonts w:ascii="Times New Roman" w:hAnsi="Times New Roman" w:eastAsia="Times New Roman"/>
          <w:b w:val="0"/>
          <w:i w:val="0"/>
          <w:sz w:val="24"/>
        </w:rPr>
        <w:t>Oleh karena itu, penelitian disertasi ini mengusulkan Kerangka Kerja Adopsi Sistem Informasi Cerdas Berbasis AI Agent dan Teori Respon Dinamis yang mentransformasikan model UTAUT statis menjadi Dynamic Acceptance Engine guna memberikan intervensi proaktif (proactive nudging) dan optimasi kepuasan masyarakat secara berkelanjutan.</w:t>
      </w:r>
    </w:p>
    <w:p>
      <w:pPr>
        <w:keepNext/>
        <w:spacing w:before="280" w:after="80"/>
      </w:pPr>
      <w:r>
        <w:rPr>
          <w:rFonts w:ascii="Times New Roman" w:hAnsi="Times New Roman" w:eastAsia="Times New Roman"/>
          <w:b/>
          <w:i w:val="0"/>
          <w:sz w:val="24"/>
        </w:rPr>
        <w:t>2. PERUMUSAN MASALAH</w:t>
      </w:r>
    </w:p>
    <w:p>
      <w:pPr>
        <w:spacing w:before="0" w:after="120" w:line="360" w:lineRule="auto"/>
        <w:jc w:val="both"/>
      </w:pPr>
      <w:r>
        <w:rPr>
          <w:rFonts w:ascii="Times New Roman" w:hAnsi="Times New Roman" w:eastAsia="Times New Roman"/>
          <w:b w:val="0"/>
          <w:i w:val="0"/>
          <w:sz w:val="24"/>
        </w:rPr>
        <w:t>1. Bagaimana memformulasikan Teori Respon Dinamis (Dynamic Response Theory) yang mampu mengukur dan memprediksi titik resistensi pengguna layanan publik secara kontinu dari telemetri interaksi sistem?</w:t>
      </w:r>
    </w:p>
    <w:p>
      <w:pPr>
        <w:spacing w:before="0" w:after="120" w:line="360" w:lineRule="auto"/>
        <w:jc w:val="both"/>
      </w:pPr>
      <w:r>
        <w:rPr>
          <w:rFonts w:ascii="Times New Roman" w:hAnsi="Times New Roman" w:eastAsia="Times New Roman"/>
          <w:b w:val="0"/>
          <w:i w:val="0"/>
          <w:sz w:val="24"/>
        </w:rPr>
        <w:t>2. Bagaimana merancang arsitektur kolaboratif Autonomous Multi-Agent Systems (MAS) yang mampu membagi peran investigasi formulir, verifikasi dokumen OCR, validasi kepatuhan regulasi, dan orkestrasi integrasi data lintas instansi secara otonom?</w:t>
      </w:r>
    </w:p>
    <w:p>
      <w:pPr>
        <w:spacing w:before="0" w:after="120" w:line="360" w:lineRule="auto"/>
        <w:jc w:val="both"/>
      </w:pPr>
      <w:r>
        <w:rPr>
          <w:rFonts w:ascii="Times New Roman" w:hAnsi="Times New Roman" w:eastAsia="Times New Roman"/>
          <w:b w:val="0"/>
          <w:i w:val="0"/>
          <w:sz w:val="24"/>
        </w:rPr>
        <w:t>3. Bagaimana mengintegrasikan mesin intervensi proaktif (Proactive Nudging Engine) berbasis Reinforcement Learning untuk memberikan bantuan kontekstual adaptif tanpa melanggar kepatuhan hukum dan privasi data warga?</w:t>
      </w:r>
    </w:p>
    <w:p>
      <w:pPr>
        <w:keepNext/>
        <w:spacing w:before="280" w:after="80"/>
      </w:pPr>
      <w:r>
        <w:rPr>
          <w:rFonts w:ascii="Times New Roman" w:hAnsi="Times New Roman" w:eastAsia="Times New Roman"/>
          <w:b/>
          <w:i w:val="0"/>
          <w:sz w:val="24"/>
        </w:rPr>
        <w:t>3. BATASAN MASALAH</w:t>
      </w:r>
    </w:p>
    <w:p>
      <w:pPr>
        <w:spacing w:before="0" w:after="120" w:line="360" w:lineRule="auto"/>
        <w:jc w:val="both"/>
      </w:pPr>
      <w:r>
        <w:rPr>
          <w:rFonts w:ascii="Times New Roman" w:hAnsi="Times New Roman" w:eastAsia="Times New Roman"/>
          <w:b w:val="0"/>
          <w:i w:val="0"/>
          <w:sz w:val="24"/>
        </w:rPr>
        <w:t>1. Domain pengujian difokuskan pada platform layanan perizinan dan administrasi publik terpadu (SPBE daerah dan ekosistem digital IKN).</w:t>
      </w:r>
    </w:p>
    <w:p>
      <w:pPr>
        <w:spacing w:before="0" w:after="120" w:line="360" w:lineRule="auto"/>
        <w:jc w:val="both"/>
      </w:pPr>
      <w:r>
        <w:rPr>
          <w:rFonts w:ascii="Times New Roman" w:hAnsi="Times New Roman" w:eastAsia="Times New Roman"/>
          <w:b w:val="0"/>
          <w:i w:val="0"/>
          <w:sz w:val="24"/>
        </w:rPr>
        <w:t>2. Arsitektur AI Agent dibangun menggunakan model terdistribusi (Multi-Agent Systems) yang terdiri atas agen Navigator, Dokumen, Regulasi, dan Analitik Adopsi.</w:t>
      </w:r>
    </w:p>
    <w:p>
      <w:pPr>
        <w:spacing w:before="0" w:after="120" w:line="360" w:lineRule="auto"/>
        <w:jc w:val="both"/>
      </w:pPr>
      <w:r>
        <w:rPr>
          <w:rFonts w:ascii="Times New Roman" w:hAnsi="Times New Roman" w:eastAsia="Times New Roman"/>
          <w:b w:val="0"/>
          <w:i w:val="0"/>
          <w:sz w:val="24"/>
        </w:rPr>
        <w:t>3. Variabel dinamis yang diukur mencakup evolusi dimensi UTAUT-2 yang dikuantifikasi melalui telemetri temporal interaksi.</w:t>
      </w:r>
    </w:p>
    <w:p>
      <w:pPr>
        <w:spacing w:before="0" w:after="120" w:line="360" w:lineRule="auto"/>
        <w:jc w:val="both"/>
      </w:pPr>
      <w:r>
        <w:rPr>
          <w:rFonts w:ascii="Times New Roman" w:hAnsi="Times New Roman" w:eastAsia="Times New Roman"/>
          <w:b w:val="0"/>
          <w:i w:val="0"/>
          <w:sz w:val="24"/>
        </w:rPr>
        <w:t>4. Evaluasi kinerja mencakup User Drop-off Reduction Rate, Service Completion Acceleration, Adoption Dynamic Index, dan System Usability Scale (SUS).</w:t>
      </w:r>
    </w:p>
    <w:p>
      <w:pPr>
        <w:keepNext/>
        <w:spacing w:before="280" w:after="80"/>
      </w:pPr>
      <w:r>
        <w:rPr>
          <w:rFonts w:ascii="Times New Roman" w:hAnsi="Times New Roman" w:eastAsia="Times New Roman"/>
          <w:b/>
          <w:i w:val="0"/>
          <w:sz w:val="24"/>
        </w:rPr>
        <w:t>4. TUJUAN PENELITIAN</w:t>
      </w:r>
    </w:p>
    <w:p>
      <w:pPr>
        <w:spacing w:before="0" w:after="120" w:line="360" w:lineRule="auto"/>
        <w:jc w:val="both"/>
      </w:pPr>
      <w:r>
        <w:rPr>
          <w:rFonts w:ascii="Times New Roman" w:hAnsi="Times New Roman" w:eastAsia="Times New Roman"/>
          <w:b w:val="0"/>
          <w:i w:val="0"/>
          <w:sz w:val="24"/>
        </w:rPr>
        <w:t>1. Merumuskan Model Teori Respon Dinamis Adopsi Sistem Informasi sebagai perluasan matematis terhadap kerangka kerja UTAUT-2 pada lingkungan interaksi real-time.</w:t>
      </w:r>
    </w:p>
    <w:p>
      <w:pPr>
        <w:spacing w:before="0" w:after="120" w:line="360" w:lineRule="auto"/>
        <w:jc w:val="both"/>
      </w:pPr>
      <w:r>
        <w:rPr>
          <w:rFonts w:ascii="Times New Roman" w:hAnsi="Times New Roman" w:eastAsia="Times New Roman"/>
          <w:b w:val="0"/>
          <w:i w:val="0"/>
          <w:sz w:val="24"/>
        </w:rPr>
        <w:t>2. Membangun Arsitektur Multi-Agent Collaboration Engine (MACE) untuk mengotomatisasi asistensi alur layanan publik terintegrasi.</w:t>
      </w:r>
    </w:p>
    <w:p>
      <w:pPr>
        <w:spacing w:before="0" w:after="120" w:line="360" w:lineRule="auto"/>
        <w:jc w:val="both"/>
      </w:pPr>
      <w:r>
        <w:rPr>
          <w:rFonts w:ascii="Times New Roman" w:hAnsi="Times New Roman" w:eastAsia="Times New Roman"/>
          <w:b w:val="0"/>
          <w:i w:val="0"/>
          <w:sz w:val="24"/>
        </w:rPr>
        <w:t>3. Mengembangkan Proactive Nudging &amp; Dynamic Workflow Simplification Algorithm berbasis Reinforcement Learning.</w:t>
      </w:r>
    </w:p>
    <w:p>
      <w:pPr>
        <w:spacing w:before="0" w:after="120" w:line="360" w:lineRule="auto"/>
        <w:jc w:val="both"/>
      </w:pPr>
      <w:r>
        <w:rPr>
          <w:rFonts w:ascii="Times New Roman" w:hAnsi="Times New Roman" w:eastAsia="Times New Roman"/>
          <w:b w:val="0"/>
          <w:i w:val="0"/>
          <w:sz w:val="24"/>
        </w:rPr>
        <w:t>4. Memvalidasi efektivitas kerangka kerja usulan pada testbed sistem layanan perizinan terpadu di Kalimantan Timur / IKN.</w:t>
      </w:r>
    </w:p>
    <w:p>
      <w:pPr>
        <w:keepNext/>
        <w:spacing w:before="280" w:after="80"/>
      </w:pPr>
      <w:r>
        <w:rPr>
          <w:rFonts w:ascii="Times New Roman" w:hAnsi="Times New Roman" w:eastAsia="Times New Roman"/>
          <w:b/>
          <w:i w:val="0"/>
          <w:sz w:val="24"/>
        </w:rPr>
        <w:t>5. MANFAAT PENELITIAN</w:t>
      </w:r>
    </w:p>
    <w:p>
      <w:pPr>
        <w:spacing w:before="0" w:after="120" w:line="360" w:lineRule="auto"/>
        <w:jc w:val="both"/>
      </w:pPr>
      <w:r>
        <w:rPr>
          <w:rFonts w:ascii="Times New Roman" w:hAnsi="Times New Roman" w:eastAsia="Times New Roman"/>
          <w:b w:val="0"/>
          <w:i w:val="0"/>
          <w:sz w:val="24"/>
        </w:rPr>
        <w:t>A. Manfaat Teoretis: Mentransformasikan model penerimaan teknologi dari paradigma survei statis menjadi model komputasi dinamis berbasis agen cerdas (Intelligent Agentic Adoption Model).</w:t>
      </w:r>
    </w:p>
    <w:p>
      <w:pPr>
        <w:spacing w:before="0" w:after="120" w:line="360" w:lineRule="auto"/>
        <w:jc w:val="both"/>
      </w:pPr>
      <w:r>
        <w:rPr>
          <w:rFonts w:ascii="Times New Roman" w:hAnsi="Times New Roman" w:eastAsia="Times New Roman"/>
          <w:b w:val="0"/>
          <w:i w:val="0"/>
          <w:sz w:val="24"/>
        </w:rPr>
        <w:t>B. Manfaat Praktis: Memberikan acuan arsitektur sistem bagi Kementerian PAN-RB, Diskominfo, dan Otorita IKN dalam meningkatkan indeks SPBE dan kepuasan masyarakat terhadap portal pelayanan publik nasional.</w:t>
      </w:r>
    </w:p>
    <w:p>
      <w:pPr>
        <w:keepNext/>
        <w:spacing w:before="280" w:after="80"/>
      </w:pPr>
      <w:r>
        <w:rPr>
          <w:rFonts w:ascii="Times New Roman" w:hAnsi="Times New Roman" w:eastAsia="Times New Roman"/>
          <w:b/>
          <w:i w:val="0"/>
          <w:sz w:val="24"/>
        </w:rPr>
        <w:t>6. TINJAUAN PUSTAKA &amp; STATE OF THE ART (SOTA)</w:t>
      </w:r>
    </w:p>
    <w:tbl>
      <w:tblPr>
        <w:tblW w:type="auto" w:w="0"/>
        <w:jc w:val="center"/>
        <w:tblLook w:firstColumn="1" w:firstRow="1" w:lastColumn="0" w:lastRow="0" w:noHBand="0" w:noVBand="1" w:val="04A0"/>
      </w:tblPr>
      <w:tblGrid>
        <w:gridCol w:w="1701"/>
        <w:gridCol w:w="1701"/>
        <w:gridCol w:w="1701"/>
        <w:gridCol w:w="1701"/>
        <w:gridCol w:w="1701"/>
      </w:tblGrid>
      <w:tr>
        <w:tc>
          <w:tcPr>
            <w:tcW w:type="dxa" w:w="1701"/>
            <w:shd w:fill="E0E0E0" w:val="clear"/>
            <w:tcMar>
              <w:top w:w="80" w:type="dxa"/>
              <w:bottom w:w="80" w:type="dxa"/>
              <w:left w:w="80" w:type="dxa"/>
              <w:right w:w="80" w:type="dxa"/>
            </w:tcMar>
          </w:tcPr>
          <w:p>
            <w:r>
              <w:rPr>
                <w:rFonts w:ascii="Times New Roman" w:hAnsi="Times New Roman" w:eastAsia="Times New Roman"/>
                <w:b/>
                <w:i w:val="0"/>
                <w:sz w:val="18"/>
              </w:rPr>
              <w:t>Peneliti &amp; Tahun</w:t>
            </w:r>
          </w:p>
        </w:tc>
        <w:tc>
          <w:tcPr>
            <w:tcW w:type="dxa" w:w="1701"/>
            <w:shd w:fill="E0E0E0" w:val="clear"/>
            <w:tcMar>
              <w:top w:w="80" w:type="dxa"/>
              <w:bottom w:w="80" w:type="dxa"/>
              <w:left w:w="80" w:type="dxa"/>
              <w:right w:w="80" w:type="dxa"/>
            </w:tcMar>
          </w:tcPr>
          <w:p>
            <w:r>
              <w:rPr>
                <w:rFonts w:ascii="Times New Roman" w:hAnsi="Times New Roman" w:eastAsia="Times New Roman"/>
                <w:b/>
                <w:i w:val="0"/>
                <w:sz w:val="18"/>
              </w:rPr>
              <w:t>Fokus / Metode</w:t>
            </w:r>
          </w:p>
        </w:tc>
        <w:tc>
          <w:tcPr>
            <w:tcW w:type="dxa" w:w="1701"/>
            <w:shd w:fill="E0E0E0" w:val="clear"/>
            <w:tcMar>
              <w:top w:w="80" w:type="dxa"/>
              <w:bottom w:w="80" w:type="dxa"/>
              <w:left w:w="80" w:type="dxa"/>
              <w:right w:w="80" w:type="dxa"/>
            </w:tcMar>
          </w:tcPr>
          <w:p>
            <w:r>
              <w:rPr>
                <w:rFonts w:ascii="Times New Roman" w:hAnsi="Times New Roman" w:eastAsia="Times New Roman"/>
                <w:b/>
                <w:i w:val="0"/>
                <w:sz w:val="18"/>
              </w:rPr>
              <w:t>Kelebihan</w:t>
            </w:r>
          </w:p>
        </w:tc>
        <w:tc>
          <w:tcPr>
            <w:tcW w:type="dxa" w:w="1701"/>
            <w:shd w:fill="E0E0E0" w:val="clear"/>
            <w:tcMar>
              <w:top w:w="80" w:type="dxa"/>
              <w:bottom w:w="80" w:type="dxa"/>
              <w:left w:w="80" w:type="dxa"/>
              <w:right w:w="80" w:type="dxa"/>
            </w:tcMar>
          </w:tcPr>
          <w:p>
            <w:r>
              <w:rPr>
                <w:rFonts w:ascii="Times New Roman" w:hAnsi="Times New Roman" w:eastAsia="Times New Roman"/>
                <w:b/>
                <w:i w:val="0"/>
                <w:sz w:val="18"/>
              </w:rPr>
              <w:t>Keterbatasan / Gap</w:t>
            </w:r>
          </w:p>
        </w:tc>
        <w:tc>
          <w:tcPr>
            <w:tcW w:type="dxa" w:w="1701"/>
            <w:shd w:fill="E0E0E0" w:val="clear"/>
            <w:tcMar>
              <w:top w:w="80" w:type="dxa"/>
              <w:bottom w:w="80" w:type="dxa"/>
              <w:left w:w="80" w:type="dxa"/>
              <w:right w:w="80" w:type="dxa"/>
            </w:tcMar>
          </w:tcPr>
          <w:p>
            <w:r>
              <w:rPr>
                <w:rFonts w:ascii="Times New Roman" w:hAnsi="Times New Roman" w:eastAsia="Times New Roman"/>
                <w:b/>
                <w:i w:val="0"/>
                <w:sz w:val="18"/>
              </w:rPr>
              <w:t>Posisi Riset Ini</w:t>
            </w:r>
          </w:p>
        </w:tc>
      </w:tr>
      <w:tr>
        <w:tc>
          <w:tcPr>
            <w:tcW w:type="dxa" w:w="1701"/>
            <w:tcMar>
              <w:top w:w="60" w:type="dxa"/>
              <w:bottom w:w="60" w:type="dxa"/>
              <w:left w:w="60" w:type="dxa"/>
              <w:right w:w="60" w:type="dxa"/>
            </w:tcMar>
          </w:tcPr>
          <w:p>
            <w:r>
              <w:rPr>
                <w:rFonts w:ascii="Times New Roman" w:hAnsi="Times New Roman" w:eastAsia="Times New Roman"/>
                <w:b w:val="0"/>
                <w:i w:val="0"/>
                <w:sz w:val="17"/>
              </w:rPr>
              <w:t>Setyadi et al. (2019 - Procedia CS)</w:t>
            </w:r>
          </w:p>
        </w:tc>
        <w:tc>
          <w:tcPr>
            <w:tcW w:type="dxa" w:w="1701"/>
            <w:tcMar>
              <w:top w:w="60" w:type="dxa"/>
              <w:bottom w:w="60" w:type="dxa"/>
              <w:left w:w="60" w:type="dxa"/>
              <w:right w:w="60" w:type="dxa"/>
            </w:tcMar>
          </w:tcPr>
          <w:p>
            <w:r>
              <w:rPr>
                <w:rFonts w:ascii="Times New Roman" w:hAnsi="Times New Roman" w:eastAsia="Times New Roman"/>
                <w:b w:val="0"/>
                <w:i w:val="0"/>
                <w:sz w:val="17"/>
              </w:rPr>
              <w:t>UTAUT Model License Adoption (48 Cites)</w:t>
            </w:r>
          </w:p>
        </w:tc>
        <w:tc>
          <w:tcPr>
            <w:tcW w:type="dxa" w:w="1701"/>
            <w:tcMar>
              <w:top w:w="60" w:type="dxa"/>
              <w:bottom w:w="60" w:type="dxa"/>
              <w:left w:w="60" w:type="dxa"/>
              <w:right w:w="60" w:type="dxa"/>
            </w:tcMar>
          </w:tcPr>
          <w:p>
            <w:r>
              <w:rPr>
                <w:rFonts w:ascii="Times New Roman" w:hAnsi="Times New Roman" w:eastAsia="Times New Roman"/>
                <w:b w:val="0"/>
                <w:i w:val="0"/>
                <w:sz w:val="17"/>
              </w:rPr>
              <w:t>Analisis faktor empiris adopsi sistem perizinan terpadu.</w:t>
            </w:r>
          </w:p>
        </w:tc>
        <w:tc>
          <w:tcPr>
            <w:tcW w:type="dxa" w:w="1701"/>
            <w:tcMar>
              <w:top w:w="60" w:type="dxa"/>
              <w:bottom w:w="60" w:type="dxa"/>
              <w:left w:w="60" w:type="dxa"/>
              <w:right w:w="60" w:type="dxa"/>
            </w:tcMar>
          </w:tcPr>
          <w:p>
            <w:r>
              <w:rPr>
                <w:rFonts w:ascii="Times New Roman" w:hAnsi="Times New Roman" w:eastAsia="Times New Roman"/>
                <w:b w:val="0"/>
                <w:i w:val="0"/>
                <w:sz w:val="17"/>
              </w:rPr>
              <w:t>Evaluasi bersifat statis (SEM-PLS), tanpa aksi adaptif real-time.</w:t>
            </w:r>
          </w:p>
        </w:tc>
        <w:tc>
          <w:tcPr>
            <w:tcW w:type="dxa" w:w="1701"/>
            <w:tcMar>
              <w:top w:w="60" w:type="dxa"/>
              <w:bottom w:w="60" w:type="dxa"/>
              <w:left w:w="60" w:type="dxa"/>
              <w:right w:w="60" w:type="dxa"/>
            </w:tcMar>
          </w:tcPr>
          <w:p>
            <w:r>
              <w:rPr>
                <w:rFonts w:ascii="Times New Roman" w:hAnsi="Times New Roman" w:eastAsia="Times New Roman"/>
                <w:b w:val="0"/>
                <w:i w:val="0"/>
                <w:sz w:val="17"/>
              </w:rPr>
              <w:t>Mengembangkan model UTAUT statis menjadi Teori Respon Dinamis berbasis agen.</w:t>
            </w:r>
          </w:p>
        </w:tc>
      </w:tr>
      <w:tr>
        <w:tc>
          <w:tcPr>
            <w:tcW w:type="dxa" w:w="1701"/>
            <w:tcMar>
              <w:top w:w="60" w:type="dxa"/>
              <w:bottom w:w="60" w:type="dxa"/>
              <w:left w:w="60" w:type="dxa"/>
              <w:right w:w="60" w:type="dxa"/>
            </w:tcMar>
          </w:tcPr>
          <w:p>
            <w:r>
              <w:rPr>
                <w:rFonts w:ascii="Times New Roman" w:hAnsi="Times New Roman" w:eastAsia="Times New Roman"/>
                <w:b w:val="0"/>
                <w:i w:val="0"/>
                <w:sz w:val="17"/>
              </w:rPr>
              <w:t>Venkatesh et al. (2022)</w:t>
            </w:r>
          </w:p>
        </w:tc>
        <w:tc>
          <w:tcPr>
            <w:tcW w:type="dxa" w:w="1701"/>
            <w:tcMar>
              <w:top w:w="60" w:type="dxa"/>
              <w:bottom w:w="60" w:type="dxa"/>
              <w:left w:w="60" w:type="dxa"/>
              <w:right w:w="60" w:type="dxa"/>
            </w:tcMar>
          </w:tcPr>
          <w:p>
            <w:r>
              <w:rPr>
                <w:rFonts w:ascii="Times New Roman" w:hAnsi="Times New Roman" w:eastAsia="Times New Roman"/>
                <w:b w:val="0"/>
                <w:i w:val="0"/>
                <w:sz w:val="17"/>
              </w:rPr>
              <w:t>Longitudinal UTAUT-2 Enterprise</w:t>
            </w:r>
          </w:p>
        </w:tc>
        <w:tc>
          <w:tcPr>
            <w:tcW w:type="dxa" w:w="1701"/>
            <w:tcMar>
              <w:top w:w="60" w:type="dxa"/>
              <w:bottom w:w="60" w:type="dxa"/>
              <w:left w:w="60" w:type="dxa"/>
              <w:right w:w="60" w:type="dxa"/>
            </w:tcMar>
          </w:tcPr>
          <w:p>
            <w:r>
              <w:rPr>
                <w:rFonts w:ascii="Times New Roman" w:hAnsi="Times New Roman" w:eastAsia="Times New Roman"/>
                <w:b w:val="0"/>
                <w:i w:val="0"/>
                <w:sz w:val="17"/>
              </w:rPr>
              <w:t>Memantau perubahan persepsi pengguna dalam rentang bulanan.</w:t>
            </w:r>
          </w:p>
        </w:tc>
        <w:tc>
          <w:tcPr>
            <w:tcW w:type="dxa" w:w="1701"/>
            <w:tcMar>
              <w:top w:w="60" w:type="dxa"/>
              <w:bottom w:w="60" w:type="dxa"/>
              <w:left w:w="60" w:type="dxa"/>
              <w:right w:w="60" w:type="dxa"/>
            </w:tcMar>
          </w:tcPr>
          <w:p>
            <w:r>
              <w:rPr>
                <w:rFonts w:ascii="Times New Roman" w:hAnsi="Times New Roman" w:eastAsia="Times New Roman"/>
                <w:b w:val="0"/>
                <w:i w:val="0"/>
                <w:sz w:val="17"/>
              </w:rPr>
              <w:t>Interval waktu bulanan, tidak bisa merespons saat sesi berjalan.</w:t>
            </w:r>
          </w:p>
        </w:tc>
        <w:tc>
          <w:tcPr>
            <w:tcW w:type="dxa" w:w="1701"/>
            <w:tcMar>
              <w:top w:w="60" w:type="dxa"/>
              <w:bottom w:w="60" w:type="dxa"/>
              <w:left w:w="60" w:type="dxa"/>
              <w:right w:w="60" w:type="dxa"/>
            </w:tcMar>
          </w:tcPr>
          <w:p>
            <w:r>
              <w:rPr>
                <w:rFonts w:ascii="Times New Roman" w:hAnsi="Times New Roman" w:eastAsia="Times New Roman"/>
                <w:b w:val="0"/>
                <w:i w:val="0"/>
                <w:sz w:val="17"/>
              </w:rPr>
              <w:t>Mengukur dinamika adopsi per sesi interaksi (per-session dynamic tracking).</w:t>
            </w:r>
          </w:p>
        </w:tc>
      </w:tr>
      <w:tr>
        <w:tc>
          <w:tcPr>
            <w:tcW w:type="dxa" w:w="1701"/>
            <w:tcMar>
              <w:top w:w="60" w:type="dxa"/>
              <w:bottom w:w="60" w:type="dxa"/>
              <w:left w:w="60" w:type="dxa"/>
              <w:right w:w="60" w:type="dxa"/>
            </w:tcMar>
          </w:tcPr>
          <w:p>
            <w:r>
              <w:rPr>
                <w:rFonts w:ascii="Times New Roman" w:hAnsi="Times New Roman" w:eastAsia="Times New Roman"/>
                <w:b w:val="0"/>
                <w:i w:val="0"/>
                <w:sz w:val="17"/>
              </w:rPr>
              <w:t>Park et al. (2023) / Wooldridge</w:t>
            </w:r>
          </w:p>
        </w:tc>
        <w:tc>
          <w:tcPr>
            <w:tcW w:type="dxa" w:w="1701"/>
            <w:tcMar>
              <w:top w:w="60" w:type="dxa"/>
              <w:bottom w:w="60" w:type="dxa"/>
              <w:left w:w="60" w:type="dxa"/>
              <w:right w:w="60" w:type="dxa"/>
            </w:tcMar>
          </w:tcPr>
          <w:p>
            <w:r>
              <w:rPr>
                <w:rFonts w:ascii="Times New Roman" w:hAnsi="Times New Roman" w:eastAsia="Times New Roman"/>
                <w:b w:val="0"/>
                <w:i w:val="0"/>
                <w:sz w:val="17"/>
              </w:rPr>
              <w:t>Generative Multi-Agent Systems</w:t>
            </w:r>
          </w:p>
        </w:tc>
        <w:tc>
          <w:tcPr>
            <w:tcW w:type="dxa" w:w="1701"/>
            <w:tcMar>
              <w:top w:w="60" w:type="dxa"/>
              <w:bottom w:w="60" w:type="dxa"/>
              <w:left w:w="60" w:type="dxa"/>
              <w:right w:w="60" w:type="dxa"/>
            </w:tcMar>
          </w:tcPr>
          <w:p>
            <w:r>
              <w:rPr>
                <w:rFonts w:ascii="Times New Roman" w:hAnsi="Times New Roman" w:eastAsia="Times New Roman"/>
                <w:b w:val="0"/>
                <w:i w:val="0"/>
                <w:sz w:val="17"/>
              </w:rPr>
              <w:t>Kerjasama multi-agen sangat adaptif.</w:t>
            </w:r>
          </w:p>
        </w:tc>
        <w:tc>
          <w:tcPr>
            <w:tcW w:type="dxa" w:w="1701"/>
            <w:tcMar>
              <w:top w:w="60" w:type="dxa"/>
              <w:bottom w:w="60" w:type="dxa"/>
              <w:left w:w="60" w:type="dxa"/>
              <w:right w:w="60" w:type="dxa"/>
            </w:tcMar>
          </w:tcPr>
          <w:p>
            <w:r>
              <w:rPr>
                <w:rFonts w:ascii="Times New Roman" w:hAnsi="Times New Roman" w:eastAsia="Times New Roman"/>
                <w:b w:val="0"/>
                <w:i w:val="0"/>
                <w:sz w:val="17"/>
              </w:rPr>
              <w:t>Belum dihubungkan dengan model teoritis adopsi sistem informasi.</w:t>
            </w:r>
          </w:p>
        </w:tc>
        <w:tc>
          <w:tcPr>
            <w:tcW w:type="dxa" w:w="1701"/>
            <w:tcMar>
              <w:top w:w="60" w:type="dxa"/>
              <w:bottom w:w="60" w:type="dxa"/>
              <w:left w:w="60" w:type="dxa"/>
              <w:right w:w="60" w:type="dxa"/>
            </w:tcMar>
          </w:tcPr>
          <w:p>
            <w:r>
              <w:rPr>
                <w:rFonts w:ascii="Times New Roman" w:hAnsi="Times New Roman" w:eastAsia="Times New Roman"/>
                <w:b w:val="0"/>
                <w:i w:val="0"/>
                <w:sz w:val="17"/>
              </w:rPr>
              <w:t>Integrasi multi-agen dengan teori adopsi sistem informasi formal.</w:t>
            </w:r>
          </w:p>
        </w:tc>
      </w:tr>
      <w:tr>
        <w:tc>
          <w:tcPr>
            <w:tcW w:type="dxa" w:w="1701"/>
            <w:tcMar>
              <w:top w:w="60" w:type="dxa"/>
              <w:bottom w:w="60" w:type="dxa"/>
              <w:left w:w="60" w:type="dxa"/>
              <w:right w:w="60" w:type="dxa"/>
            </w:tcMar>
          </w:tcPr>
          <w:p>
            <w:r>
              <w:rPr>
                <w:rFonts w:ascii="Times New Roman" w:hAnsi="Times New Roman" w:eastAsia="Times New Roman"/>
                <w:b w:val="0"/>
                <w:i w:val="0"/>
                <w:sz w:val="17"/>
              </w:rPr>
              <w:t>Setyadi et al. (2026)</w:t>
            </w:r>
          </w:p>
        </w:tc>
        <w:tc>
          <w:tcPr>
            <w:tcW w:type="dxa" w:w="1701"/>
            <w:tcMar>
              <w:top w:w="60" w:type="dxa"/>
              <w:bottom w:w="60" w:type="dxa"/>
              <w:left w:w="60" w:type="dxa"/>
              <w:right w:w="60" w:type="dxa"/>
            </w:tcMar>
          </w:tcPr>
          <w:p>
            <w:r>
              <w:rPr>
                <w:rFonts w:ascii="Times New Roman" w:hAnsi="Times New Roman" w:eastAsia="Times New Roman"/>
                <w:b w:val="0"/>
                <w:i w:val="0"/>
                <w:sz w:val="17"/>
              </w:rPr>
              <w:t>AI Agent n8n for Operational Automation</w:t>
            </w:r>
          </w:p>
        </w:tc>
        <w:tc>
          <w:tcPr>
            <w:tcW w:type="dxa" w:w="1701"/>
            <w:tcMar>
              <w:top w:w="60" w:type="dxa"/>
              <w:bottom w:w="60" w:type="dxa"/>
              <w:left w:w="60" w:type="dxa"/>
              <w:right w:w="60" w:type="dxa"/>
            </w:tcMar>
          </w:tcPr>
          <w:p>
            <w:r>
              <w:rPr>
                <w:rFonts w:ascii="Times New Roman" w:hAnsi="Times New Roman" w:eastAsia="Times New Roman"/>
                <w:b w:val="0"/>
                <w:i w:val="0"/>
                <w:sz w:val="17"/>
              </w:rPr>
              <w:t>Otomatisasi alur kerja operasional cerdas yang efisien.</w:t>
            </w:r>
          </w:p>
        </w:tc>
        <w:tc>
          <w:tcPr>
            <w:tcW w:type="dxa" w:w="1701"/>
            <w:tcMar>
              <w:top w:w="60" w:type="dxa"/>
              <w:bottom w:w="60" w:type="dxa"/>
              <w:left w:w="60" w:type="dxa"/>
              <w:right w:w="60" w:type="dxa"/>
            </w:tcMar>
          </w:tcPr>
          <w:p>
            <w:r>
              <w:rPr>
                <w:rFonts w:ascii="Times New Roman" w:hAnsi="Times New Roman" w:eastAsia="Times New Roman"/>
                <w:b w:val="0"/>
                <w:i w:val="0"/>
                <w:sz w:val="17"/>
              </w:rPr>
              <w:t>Bersifat fungsional operasional, belum menjadi metamodel adopsi.</w:t>
            </w:r>
          </w:p>
        </w:tc>
        <w:tc>
          <w:tcPr>
            <w:tcW w:type="dxa" w:w="1701"/>
            <w:tcMar>
              <w:top w:w="60" w:type="dxa"/>
              <w:bottom w:w="60" w:type="dxa"/>
              <w:left w:w="60" w:type="dxa"/>
              <w:right w:w="60" w:type="dxa"/>
            </w:tcMar>
          </w:tcPr>
          <w:p>
            <w:r>
              <w:rPr>
                <w:rFonts w:ascii="Times New Roman" w:hAnsi="Times New Roman" w:eastAsia="Times New Roman"/>
                <w:b w:val="0"/>
                <w:i w:val="0"/>
                <w:sz w:val="17"/>
              </w:rPr>
              <w:t>Evolusi ke level kerangka kerja doktoral SPBE terintegrasi.</w:t>
            </w:r>
          </w:p>
        </w:tc>
      </w:tr>
      <w:tr>
        <w:tc>
          <w:tcPr>
            <w:tcW w:type="dxa" w:w="1701"/>
            <w:shd w:fill="EAF2F8" w:val="clear"/>
            <w:tcMar>
              <w:top w:w="60" w:type="dxa"/>
              <w:bottom w:w="60" w:type="dxa"/>
              <w:left w:w="60" w:type="dxa"/>
              <w:right w:w="60" w:type="dxa"/>
            </w:tcMar>
          </w:tcPr>
          <w:p>
            <w:r>
              <w:rPr>
                <w:rFonts w:ascii="Times New Roman" w:hAnsi="Times New Roman" w:eastAsia="Times New Roman"/>
                <w:b/>
                <w:i w:val="0"/>
                <w:sz w:val="17"/>
              </w:rPr>
              <w:t>Penelitian Ini (Hario et al., 2026)</w:t>
            </w:r>
          </w:p>
        </w:tc>
        <w:tc>
          <w:tcPr>
            <w:tcW w:type="dxa" w:w="1701"/>
            <w:shd w:fill="EAF2F8" w:val="clear"/>
            <w:tcMar>
              <w:top w:w="60" w:type="dxa"/>
              <w:bottom w:w="60" w:type="dxa"/>
              <w:left w:w="60" w:type="dxa"/>
              <w:right w:w="60" w:type="dxa"/>
            </w:tcMar>
          </w:tcPr>
          <w:p>
            <w:r>
              <w:rPr>
                <w:rFonts w:ascii="Times New Roman" w:hAnsi="Times New Roman" w:eastAsia="Times New Roman"/>
                <w:b/>
                <w:i w:val="0"/>
                <w:sz w:val="17"/>
              </w:rPr>
              <w:t>Intelligent Multi-Agent Adoption Framework</w:t>
            </w:r>
          </w:p>
        </w:tc>
        <w:tc>
          <w:tcPr>
            <w:tcW w:type="dxa" w:w="1701"/>
            <w:shd w:fill="EAF2F8" w:val="clear"/>
            <w:tcMar>
              <w:top w:w="60" w:type="dxa"/>
              <w:bottom w:w="60" w:type="dxa"/>
              <w:left w:w="60" w:type="dxa"/>
              <w:right w:w="60" w:type="dxa"/>
            </w:tcMar>
          </w:tcPr>
          <w:p>
            <w:r>
              <w:rPr>
                <w:rFonts w:ascii="Times New Roman" w:hAnsi="Times New Roman" w:eastAsia="Times New Roman"/>
                <w:b/>
                <w:i w:val="0"/>
                <w:sz w:val="17"/>
              </w:rPr>
              <w:t>Intervensi proaktif real-time, orkestrasi multi-agen, reduksi drop-off.</w:t>
            </w:r>
          </w:p>
        </w:tc>
        <w:tc>
          <w:tcPr>
            <w:tcW w:type="dxa" w:w="1701"/>
            <w:shd w:fill="EAF2F8" w:val="clear"/>
            <w:tcMar>
              <w:top w:w="60" w:type="dxa"/>
              <w:bottom w:w="60" w:type="dxa"/>
              <w:left w:w="60" w:type="dxa"/>
              <w:right w:w="60" w:type="dxa"/>
            </w:tcMar>
          </w:tcPr>
          <w:p>
            <w:r>
              <w:rPr>
                <w:rFonts w:ascii="Times New Roman" w:hAnsi="Times New Roman" w:eastAsia="Times New Roman"/>
                <w:b/>
                <w:i w:val="0"/>
                <w:sz w:val="17"/>
              </w:rPr>
              <w:t>-</w:t>
            </w:r>
          </w:p>
        </w:tc>
        <w:tc>
          <w:tcPr>
            <w:tcW w:type="dxa" w:w="1701"/>
            <w:shd w:fill="EAF2F8" w:val="clear"/>
            <w:tcMar>
              <w:top w:w="60" w:type="dxa"/>
              <w:bottom w:w="60" w:type="dxa"/>
              <w:left w:w="60" w:type="dxa"/>
              <w:right w:w="60" w:type="dxa"/>
            </w:tcMar>
          </w:tcPr>
          <w:p>
            <w:r>
              <w:rPr>
                <w:rFonts w:ascii="Times New Roman" w:hAnsi="Times New Roman" w:eastAsia="Times New Roman"/>
                <w:b/>
                <w:i w:val="0"/>
                <w:sz w:val="17"/>
              </w:rPr>
              <w:t>Framework adopsi SI cerdas pertama memadukan Multi-AI Agent &amp; Dynamic UTAUT.</w:t>
            </w:r>
          </w:p>
        </w:tc>
      </w:tr>
    </w:tbl>
    <w:p>
      <w:pPr>
        <w:spacing w:after="200"/>
      </w:pPr>
    </w:p>
    <w:p>
      <w:pPr>
        <w:keepNext/>
        <w:spacing w:before="280" w:after="80"/>
      </w:pPr>
      <w:r>
        <w:rPr>
          <w:rFonts w:ascii="Times New Roman" w:hAnsi="Times New Roman" w:eastAsia="Times New Roman"/>
          <w:b/>
          <w:i w:val="0"/>
          <w:sz w:val="24"/>
        </w:rPr>
        <w:t>7. METODOLOGI PENELITIAN</w:t>
      </w:r>
    </w:p>
    <w:p>
      <w:pPr>
        <w:spacing w:before="0" w:after="120" w:line="360" w:lineRule="auto"/>
        <w:jc w:val="both"/>
      </w:pPr>
      <w:r>
        <w:rPr>
          <w:rFonts w:ascii="Times New Roman" w:hAnsi="Times New Roman" w:eastAsia="Times New Roman"/>
          <w:b w:val="0"/>
          <w:i w:val="0"/>
          <w:sz w:val="24"/>
        </w:rPr>
        <w:t>Penelitian ini mengadopsi Design Science Research Methodology (DSRM) dalam 5 fase: (1) Problem Identification, (2) Objectives of a Solution, (3) Design &amp; Development (MACE Engine &amp; Dynamic UTAUT), (4) Demonstration pada Testbed SPBE PTSP/IKN, dan (5) Evaluation.</w:t>
      </w:r>
    </w:p>
    <w:p>
      <w:pPr>
        <w:spacing w:before="0" w:after="120" w:line="360" w:lineRule="auto"/>
        <w:jc w:val="both"/>
      </w:pPr>
      <w:r>
        <w:rPr>
          <w:rFonts w:ascii="Times New Roman" w:hAnsi="Times New Roman" w:eastAsia="Times New Roman"/>
          <w:b w:val="0"/>
          <w:i w:val="0"/>
          <w:sz w:val="24"/>
        </w:rPr>
        <w:t>Formulasi Matematis Indeks Adopsi Dinamis (DAI):</w:t>
      </w:r>
    </w:p>
    <w:p>
      <w:pPr>
        <w:spacing w:before="0" w:after="120" w:line="360" w:lineRule="auto"/>
        <w:jc w:val="center"/>
      </w:pPr>
      <w:r>
        <w:rPr>
          <w:rFonts w:ascii="Times New Roman" w:hAnsi="Times New Roman" w:eastAsia="Times New Roman"/>
          <w:b/>
          <w:i w:val="0"/>
          <w:sz w:val="22"/>
        </w:rPr>
        <w:t>DAI_t = γ · DAI_{t-1} + (1 - γ) · [ w_1 · PE_t - w_2 · EE_t + w_3 · FC_t(A) ]</w:t>
      </w:r>
    </w:p>
    <w:p>
      <w:pPr>
        <w:keepNext/>
        <w:spacing w:before="280" w:after="80"/>
      </w:pPr>
      <w:r>
        <w:rPr>
          <w:rFonts w:ascii="Times New Roman" w:hAnsi="Times New Roman" w:eastAsia="Times New Roman"/>
          <w:b/>
          <w:i w:val="0"/>
          <w:sz w:val="24"/>
        </w:rPr>
        <w:t>8. ROADMAP RISET &amp; TARGET PUBLIKASI (6 SEMESTER PDIK UDINUS)</w:t>
      </w:r>
    </w:p>
    <w:tbl>
      <w:tblPr>
        <w:tblW w:type="auto" w:w="0"/>
        <w:jc w:val="center"/>
        <w:tblLook w:firstColumn="1" w:firstRow="1" w:lastColumn="0" w:lastRow="0" w:noHBand="0" w:noVBand="1" w:val="04A0"/>
      </w:tblPr>
      <w:tblGrid>
        <w:gridCol w:w="2835"/>
        <w:gridCol w:w="2835"/>
        <w:gridCol w:w="2835"/>
      </w:tblGrid>
      <w:tr>
        <w:tc>
          <w:tcPr>
            <w:tcW w:type="dxa" w:w="2835"/>
            <w:shd w:fill="E0E0E0" w:val="clear"/>
            <w:tcMar>
              <w:top w:w="80" w:type="dxa"/>
              <w:bottom w:w="80" w:type="dxa"/>
              <w:left w:w="80" w:type="dxa"/>
              <w:right w:w="80" w:type="dxa"/>
            </w:tcMar>
          </w:tcPr>
          <w:p>
            <w:r>
              <w:rPr>
                <w:rFonts w:ascii="Times New Roman" w:hAnsi="Times New Roman" w:eastAsia="Times New Roman"/>
                <w:b/>
                <w:i w:val="0"/>
                <w:sz w:val="19"/>
              </w:rPr>
              <w:t>Semester</w:t>
            </w:r>
          </w:p>
        </w:tc>
        <w:tc>
          <w:tcPr>
            <w:tcW w:type="dxa" w:w="2835"/>
            <w:shd w:fill="E0E0E0" w:val="clear"/>
            <w:tcMar>
              <w:top w:w="80" w:type="dxa"/>
              <w:bottom w:w="80" w:type="dxa"/>
              <w:left w:w="80" w:type="dxa"/>
              <w:right w:w="80" w:type="dxa"/>
            </w:tcMar>
          </w:tcPr>
          <w:p>
            <w:r>
              <w:rPr>
                <w:rFonts w:ascii="Times New Roman" w:hAnsi="Times New Roman" w:eastAsia="Times New Roman"/>
                <w:b/>
                <w:i w:val="0"/>
                <w:sz w:val="19"/>
              </w:rPr>
              <w:t>Target Capaian Riset Disertasi</w:t>
            </w:r>
          </w:p>
        </w:tc>
        <w:tc>
          <w:tcPr>
            <w:tcW w:type="dxa" w:w="2835"/>
            <w:shd w:fill="E0E0E0" w:val="clear"/>
            <w:tcMar>
              <w:top w:w="80" w:type="dxa"/>
              <w:bottom w:w="80" w:type="dxa"/>
              <w:left w:w="80" w:type="dxa"/>
              <w:right w:w="80" w:type="dxa"/>
            </w:tcMar>
          </w:tcPr>
          <w:p>
            <w:r>
              <w:rPr>
                <w:rFonts w:ascii="Times New Roman" w:hAnsi="Times New Roman" w:eastAsia="Times New Roman"/>
                <w:b/>
                <w:i w:val="0"/>
                <w:sz w:val="19"/>
              </w:rPr>
              <w:t>Target Luaran Publikasi Ilmiah</w:t>
            </w:r>
          </w:p>
        </w:tc>
      </w:tr>
      <w:tr>
        <w:tc>
          <w:tcPr>
            <w:tcW w:type="dxa" w:w="2835"/>
            <w:tcMar>
              <w:top w:w="60" w:type="dxa"/>
              <w:bottom w:w="60" w:type="dxa"/>
              <w:left w:w="60" w:type="dxa"/>
              <w:right w:w="60" w:type="dxa"/>
            </w:tcMar>
          </w:tcPr>
          <w:p>
            <w:r>
              <w:rPr>
                <w:rFonts w:ascii="Times New Roman" w:hAnsi="Times New Roman" w:eastAsia="Times New Roman"/>
                <w:b w:val="0"/>
                <w:i w:val="0"/>
                <w:sz w:val="18"/>
              </w:rPr>
              <w:t>Semester 1</w:t>
            </w:r>
          </w:p>
        </w:tc>
        <w:tc>
          <w:tcPr>
            <w:tcW w:type="dxa" w:w="2835"/>
            <w:tcMar>
              <w:top w:w="60" w:type="dxa"/>
              <w:bottom w:w="60" w:type="dxa"/>
              <w:left w:w="60" w:type="dxa"/>
              <w:right w:w="60" w:type="dxa"/>
            </w:tcMar>
          </w:tcPr>
          <w:p>
            <w:r>
              <w:rPr>
                <w:rFonts w:ascii="Times New Roman" w:hAnsi="Times New Roman" w:eastAsia="Times New Roman"/>
                <w:b w:val="0"/>
                <w:i w:val="0"/>
                <w:sz w:val="18"/>
              </w:rPr>
              <w:t>SLR Teori Adopsi Dinamis, Taksonomi Multi-Agent SPBE, &amp; Pemodelan</w:t>
            </w:r>
          </w:p>
        </w:tc>
        <w:tc>
          <w:tcPr>
            <w:tcW w:type="dxa" w:w="2835"/>
            <w:tcMar>
              <w:top w:w="60" w:type="dxa"/>
              <w:bottom w:w="60" w:type="dxa"/>
              <w:left w:w="60" w:type="dxa"/>
              <w:right w:w="60" w:type="dxa"/>
            </w:tcMar>
          </w:tcPr>
          <w:p>
            <w:r>
              <w:rPr>
                <w:rFonts w:ascii="Times New Roman" w:hAnsi="Times New Roman" w:eastAsia="Times New Roman"/>
                <w:b w:val="0"/>
                <w:i w:val="0"/>
                <w:sz w:val="18"/>
              </w:rPr>
              <w:t>Draft Systematic Literature Review Paper</w:t>
            </w:r>
          </w:p>
        </w:tc>
      </w:tr>
      <w:tr>
        <w:tc>
          <w:tcPr>
            <w:tcW w:type="dxa" w:w="2835"/>
            <w:tcMar>
              <w:top w:w="60" w:type="dxa"/>
              <w:bottom w:w="60" w:type="dxa"/>
              <w:left w:w="60" w:type="dxa"/>
              <w:right w:w="60" w:type="dxa"/>
            </w:tcMar>
          </w:tcPr>
          <w:p>
            <w:r>
              <w:rPr>
                <w:rFonts w:ascii="Times New Roman" w:hAnsi="Times New Roman" w:eastAsia="Times New Roman"/>
                <w:b w:val="0"/>
                <w:i w:val="0"/>
                <w:sz w:val="18"/>
              </w:rPr>
              <w:t>Semester 2</w:t>
            </w:r>
          </w:p>
        </w:tc>
        <w:tc>
          <w:tcPr>
            <w:tcW w:type="dxa" w:w="2835"/>
            <w:tcMar>
              <w:top w:w="60" w:type="dxa"/>
              <w:bottom w:w="60" w:type="dxa"/>
              <w:left w:w="60" w:type="dxa"/>
              <w:right w:w="60" w:type="dxa"/>
            </w:tcMar>
          </w:tcPr>
          <w:p>
            <w:r>
              <w:rPr>
                <w:rFonts w:ascii="Times New Roman" w:hAnsi="Times New Roman" w:eastAsia="Times New Roman"/>
                <w:b w:val="0"/>
                <w:i w:val="0"/>
                <w:sz w:val="18"/>
              </w:rPr>
              <w:t>Pembangunan Multi-Agent Collaboration Engine (MACE) &amp; Simulator</w:t>
            </w:r>
          </w:p>
        </w:tc>
        <w:tc>
          <w:tcPr>
            <w:tcW w:type="dxa" w:w="2835"/>
            <w:tcMar>
              <w:top w:w="60" w:type="dxa"/>
              <w:bottom w:w="60" w:type="dxa"/>
              <w:left w:w="60" w:type="dxa"/>
              <w:right w:w="60" w:type="dxa"/>
            </w:tcMar>
          </w:tcPr>
          <w:p>
            <w:r>
              <w:rPr>
                <w:rFonts w:ascii="Times New Roman" w:hAnsi="Times New Roman" w:eastAsia="Times New Roman"/>
                <w:b w:val="0"/>
                <w:i w:val="0"/>
                <w:sz w:val="18"/>
              </w:rPr>
              <w:t>Publikasi 1: Prosiding Internasional IEEE (Disertasi I)</w:t>
            </w:r>
          </w:p>
        </w:tc>
      </w:tr>
      <w:tr>
        <w:tc>
          <w:tcPr>
            <w:tcW w:type="dxa" w:w="2835"/>
            <w:tcMar>
              <w:top w:w="60" w:type="dxa"/>
              <w:bottom w:w="60" w:type="dxa"/>
              <w:left w:w="60" w:type="dxa"/>
              <w:right w:w="60" w:type="dxa"/>
            </w:tcMar>
          </w:tcPr>
          <w:p>
            <w:r>
              <w:rPr>
                <w:rFonts w:ascii="Times New Roman" w:hAnsi="Times New Roman" w:eastAsia="Times New Roman"/>
                <w:b w:val="0"/>
                <w:i w:val="0"/>
                <w:sz w:val="18"/>
              </w:rPr>
              <w:t>Semester 3</w:t>
            </w:r>
          </w:p>
        </w:tc>
        <w:tc>
          <w:tcPr>
            <w:tcW w:type="dxa" w:w="2835"/>
            <w:tcMar>
              <w:top w:w="60" w:type="dxa"/>
              <w:bottom w:w="60" w:type="dxa"/>
              <w:left w:w="60" w:type="dxa"/>
              <w:right w:w="60" w:type="dxa"/>
            </w:tcMar>
          </w:tcPr>
          <w:p>
            <w:r>
              <w:rPr>
                <w:rFonts w:ascii="Times New Roman" w:hAnsi="Times New Roman" w:eastAsia="Times New Roman"/>
                <w:b w:val="0"/>
                <w:i w:val="0"/>
                <w:sz w:val="18"/>
              </w:rPr>
              <w:t>Ujian Sidang Proposal Disertasi &amp; Integrasi Algoritma Proactive Nudging</w:t>
            </w:r>
          </w:p>
        </w:tc>
        <w:tc>
          <w:tcPr>
            <w:tcW w:type="dxa" w:w="2835"/>
            <w:tcMar>
              <w:top w:w="60" w:type="dxa"/>
              <w:bottom w:w="60" w:type="dxa"/>
              <w:left w:w="60" w:type="dxa"/>
              <w:right w:w="60" w:type="dxa"/>
            </w:tcMar>
          </w:tcPr>
          <w:p>
            <w:r>
              <w:rPr>
                <w:rFonts w:ascii="Times New Roman" w:hAnsi="Times New Roman" w:eastAsia="Times New Roman"/>
                <w:b w:val="0"/>
                <w:i w:val="0"/>
                <w:sz w:val="18"/>
              </w:rPr>
              <w:t>Sidang Ujian Proposal Disertasi (Disertasi II)</w:t>
            </w:r>
          </w:p>
        </w:tc>
      </w:tr>
      <w:tr>
        <w:tc>
          <w:tcPr>
            <w:tcW w:type="dxa" w:w="2835"/>
            <w:tcMar>
              <w:top w:w="60" w:type="dxa"/>
              <w:bottom w:w="60" w:type="dxa"/>
              <w:left w:w="60" w:type="dxa"/>
              <w:right w:w="60" w:type="dxa"/>
            </w:tcMar>
          </w:tcPr>
          <w:p>
            <w:r>
              <w:rPr>
                <w:rFonts w:ascii="Times New Roman" w:hAnsi="Times New Roman" w:eastAsia="Times New Roman"/>
                <w:b w:val="0"/>
                <w:i w:val="0"/>
                <w:sz w:val="18"/>
              </w:rPr>
              <w:t>Semester 4</w:t>
            </w:r>
          </w:p>
        </w:tc>
        <w:tc>
          <w:tcPr>
            <w:tcW w:type="dxa" w:w="2835"/>
            <w:tcMar>
              <w:top w:w="60" w:type="dxa"/>
              <w:bottom w:w="60" w:type="dxa"/>
              <w:left w:w="60" w:type="dxa"/>
              <w:right w:w="60" w:type="dxa"/>
            </w:tcMar>
          </w:tcPr>
          <w:p>
            <w:r>
              <w:rPr>
                <w:rFonts w:ascii="Times New Roman" w:hAnsi="Times New Roman" w:eastAsia="Times New Roman"/>
                <w:b w:val="0"/>
                <w:i w:val="0"/>
                <w:sz w:val="18"/>
              </w:rPr>
              <w:t>Uji Coba Lapangan Terintegrasi SPBE PTSP/IKN &amp; Evaluasi Drop-Off</w:t>
            </w:r>
          </w:p>
        </w:tc>
        <w:tc>
          <w:tcPr>
            <w:tcW w:type="dxa" w:w="2835"/>
            <w:tcMar>
              <w:top w:w="60" w:type="dxa"/>
              <w:bottom w:w="60" w:type="dxa"/>
              <w:left w:w="60" w:type="dxa"/>
              <w:right w:w="60" w:type="dxa"/>
            </w:tcMar>
          </w:tcPr>
          <w:p>
            <w:r>
              <w:rPr>
                <w:rFonts w:ascii="Times New Roman" w:hAnsi="Times New Roman" w:eastAsia="Times New Roman"/>
                <w:b w:val="0"/>
                <w:i w:val="0"/>
                <w:sz w:val="18"/>
              </w:rPr>
              <w:t>Publikasi 2: Jurnal Scopus Q1 (Disertasi III, e.g. Gov. Info. Quarterly / ISF)</w:t>
            </w:r>
          </w:p>
        </w:tc>
      </w:tr>
      <w:tr>
        <w:tc>
          <w:tcPr>
            <w:tcW w:type="dxa" w:w="2835"/>
            <w:tcMar>
              <w:top w:w="60" w:type="dxa"/>
              <w:bottom w:w="60" w:type="dxa"/>
              <w:left w:w="60" w:type="dxa"/>
              <w:right w:w="60" w:type="dxa"/>
            </w:tcMar>
          </w:tcPr>
          <w:p>
            <w:r>
              <w:rPr>
                <w:rFonts w:ascii="Times New Roman" w:hAnsi="Times New Roman" w:eastAsia="Times New Roman"/>
                <w:b w:val="0"/>
                <w:i w:val="0"/>
                <w:sz w:val="18"/>
              </w:rPr>
              <w:t>Semester 5</w:t>
            </w:r>
          </w:p>
        </w:tc>
        <w:tc>
          <w:tcPr>
            <w:tcW w:type="dxa" w:w="2835"/>
            <w:tcMar>
              <w:top w:w="60" w:type="dxa"/>
              <w:bottom w:w="60" w:type="dxa"/>
              <w:left w:w="60" w:type="dxa"/>
              <w:right w:w="60" w:type="dxa"/>
            </w:tcMar>
          </w:tcPr>
          <w:p>
            <w:r>
              <w:rPr>
                <w:rFonts w:ascii="Times New Roman" w:hAnsi="Times New Roman" w:eastAsia="Times New Roman"/>
                <w:b w:val="0"/>
                <w:i w:val="0"/>
                <w:sz w:val="18"/>
              </w:rPr>
              <w:t>Penyusunan Naskah Disertasi Lengkap &amp; Sidang Ujian Tertutup</w:t>
            </w:r>
          </w:p>
        </w:tc>
        <w:tc>
          <w:tcPr>
            <w:tcW w:type="dxa" w:w="2835"/>
            <w:tcMar>
              <w:top w:w="60" w:type="dxa"/>
              <w:bottom w:w="60" w:type="dxa"/>
              <w:left w:w="60" w:type="dxa"/>
              <w:right w:w="60" w:type="dxa"/>
            </w:tcMar>
          </w:tcPr>
          <w:p>
            <w:r>
              <w:rPr>
                <w:rFonts w:ascii="Times New Roman" w:hAnsi="Times New Roman" w:eastAsia="Times New Roman"/>
                <w:b w:val="0"/>
                <w:i w:val="0"/>
                <w:sz w:val="18"/>
              </w:rPr>
              <w:t>Sidang Ujian Tertutup Disertasi (Disertasi IV)</w:t>
            </w:r>
          </w:p>
        </w:tc>
      </w:tr>
      <w:tr>
        <w:tc>
          <w:tcPr>
            <w:tcW w:type="dxa" w:w="2835"/>
            <w:tcMar>
              <w:top w:w="60" w:type="dxa"/>
              <w:bottom w:w="60" w:type="dxa"/>
              <w:left w:w="60" w:type="dxa"/>
              <w:right w:w="60" w:type="dxa"/>
            </w:tcMar>
          </w:tcPr>
          <w:p>
            <w:r>
              <w:rPr>
                <w:rFonts w:ascii="Times New Roman" w:hAnsi="Times New Roman" w:eastAsia="Times New Roman"/>
                <w:b w:val="0"/>
                <w:i w:val="0"/>
                <w:sz w:val="18"/>
              </w:rPr>
              <w:t>Semester 6</w:t>
            </w:r>
          </w:p>
        </w:tc>
        <w:tc>
          <w:tcPr>
            <w:tcW w:type="dxa" w:w="2835"/>
            <w:tcMar>
              <w:top w:w="60" w:type="dxa"/>
              <w:bottom w:w="60" w:type="dxa"/>
              <w:left w:w="60" w:type="dxa"/>
              <w:right w:w="60" w:type="dxa"/>
            </w:tcMar>
          </w:tcPr>
          <w:p>
            <w:r>
              <w:rPr>
                <w:rFonts w:ascii="Times New Roman" w:hAnsi="Times New Roman" w:eastAsia="Times New Roman"/>
                <w:b w:val="0"/>
                <w:i w:val="0"/>
                <w:sz w:val="18"/>
              </w:rPr>
              <w:t>Perbaikan Naskah, Sidang Ujian Terbuka / Promosi Doktor, dan Wisuda</w:t>
            </w:r>
          </w:p>
        </w:tc>
        <w:tc>
          <w:tcPr>
            <w:tcW w:type="dxa" w:w="2835"/>
            <w:tcMar>
              <w:top w:w="60" w:type="dxa"/>
              <w:bottom w:w="60" w:type="dxa"/>
              <w:left w:w="60" w:type="dxa"/>
              <w:right w:w="60" w:type="dxa"/>
            </w:tcMar>
          </w:tcPr>
          <w:p>
            <w:r>
              <w:rPr>
                <w:rFonts w:ascii="Times New Roman" w:hAnsi="Times New Roman" w:eastAsia="Times New Roman"/>
                <w:b w:val="0"/>
                <w:i w:val="0"/>
                <w:sz w:val="18"/>
              </w:rPr>
              <w:t>Sidang Terbuka / Promosi Doktor &amp; Wisuda (Disertasi V)</w:t>
            </w:r>
          </w:p>
        </w:tc>
      </w:tr>
    </w:tbl>
    <w:p>
      <w:pPr>
        <w:spacing w:after="200"/>
      </w:pPr>
    </w:p>
    <w:p>
      <w:pPr>
        <w:keepNext/>
        <w:spacing w:before="280" w:after="80"/>
      </w:pPr>
      <w:r>
        <w:rPr>
          <w:rFonts w:ascii="Times New Roman" w:hAnsi="Times New Roman" w:eastAsia="Times New Roman"/>
          <w:b/>
          <w:i w:val="0"/>
          <w:sz w:val="24"/>
        </w:rPr>
        <w:t>9. DAFTAR PUSTAKA</w:t>
      </w:r>
    </w:p>
    <w:p>
      <w:pPr>
        <w:spacing w:before="40" w:after="80" w:line="360" w:lineRule="auto"/>
        <w:ind w:left="576" w:hanging="576"/>
        <w:jc w:val="both"/>
      </w:pPr>
      <w:r>
        <w:rPr>
          <w:rFonts w:ascii="Times New Roman" w:hAnsi="Times New Roman" w:eastAsia="Times New Roman"/>
          <w:b w:val="0"/>
          <w:i w:val="0"/>
          <w:sz w:val="20"/>
        </w:rPr>
        <w:t>Dwivedi, Y. K., et al. (2021). Re-examining the Unified Theory of Acceptance and Use of Technology (UTAUT): Towards a Revised Theoretical Model. Information Systems Frontiers, 23(3), 719-734.</w:t>
      </w:r>
    </w:p>
    <w:p>
      <w:pPr>
        <w:spacing w:before="40" w:after="80" w:line="360" w:lineRule="auto"/>
        <w:ind w:left="576" w:hanging="576"/>
        <w:jc w:val="both"/>
      </w:pPr>
      <w:r>
        <w:rPr>
          <w:rFonts w:ascii="Times New Roman" w:hAnsi="Times New Roman" w:eastAsia="Times New Roman"/>
          <w:b w:val="0"/>
          <w:i w:val="0"/>
          <w:sz w:val="20"/>
        </w:rPr>
        <w:t>Park, J. S., et al. (2023). Generative Agents: Interactive Simulacra of Human Behavior. ACM UIST, 1-22.</w:t>
      </w:r>
    </w:p>
    <w:p>
      <w:pPr>
        <w:spacing w:before="40" w:after="80" w:line="360" w:lineRule="auto"/>
        <w:ind w:left="576" w:hanging="576"/>
        <w:jc w:val="both"/>
      </w:pPr>
      <w:r>
        <w:rPr>
          <w:rFonts w:ascii="Times New Roman" w:hAnsi="Times New Roman" w:eastAsia="Times New Roman"/>
          <w:b w:val="0"/>
          <w:i w:val="0"/>
          <w:sz w:val="20"/>
        </w:rPr>
        <w:t>Setyadi, H. J., et al. (2019). An Application of the UTAUT Model for Analysis of Adoption of Integrated License Service Information System. Procedia Computer Science, 161, 468-475.</w:t>
      </w:r>
    </w:p>
    <w:p>
      <w:pPr>
        <w:spacing w:before="40" w:after="80" w:line="360" w:lineRule="auto"/>
        <w:ind w:left="576" w:hanging="576"/>
        <w:jc w:val="both"/>
      </w:pPr>
      <w:r>
        <w:rPr>
          <w:rFonts w:ascii="Times New Roman" w:hAnsi="Times New Roman" w:eastAsia="Times New Roman"/>
          <w:b w:val="0"/>
          <w:i w:val="0"/>
          <w:sz w:val="20"/>
        </w:rPr>
        <w:t>Setyadi, H. J., et al. (2026). Penerapan AI Agent Berbasis n8n untuk Otomatisasi Operasional Pertanian. METIK Jurnal, 10(1), 12-24.</w:t>
      </w:r>
    </w:p>
    <w:p>
      <w:pPr>
        <w:spacing w:before="40" w:after="80" w:line="360" w:lineRule="auto"/>
        <w:ind w:left="576" w:hanging="576"/>
        <w:jc w:val="both"/>
      </w:pPr>
      <w:r>
        <w:rPr>
          <w:rFonts w:ascii="Times New Roman" w:hAnsi="Times New Roman" w:eastAsia="Times New Roman"/>
          <w:b w:val="0"/>
          <w:i w:val="0"/>
          <w:sz w:val="20"/>
        </w:rPr>
        <w:t>Venkatesh, V., et al. (2022). Synthesizing Technology Adoption Research: A Meta-Analysis and Research Agenda. MIS Quarterly, 46(2), 1157-1200.</w:t>
      </w:r>
    </w:p>
    <w:p>
      <w:pPr>
        <w:spacing w:before="40" w:after="80" w:line="360" w:lineRule="auto"/>
        <w:ind w:left="576" w:hanging="576"/>
        <w:jc w:val="both"/>
      </w:pPr>
      <w:r>
        <w:rPr>
          <w:rFonts w:ascii="Times New Roman" w:hAnsi="Times New Roman" w:eastAsia="Times New Roman"/>
          <w:b w:val="0"/>
          <w:i w:val="0"/>
          <w:sz w:val="20"/>
        </w:rPr>
        <w:t>Wooldridge, M. (2023). An Introduction to MultiAgent Systems (3rd Edition). John Wiley &amp; Sons.</w:t>
      </w:r>
    </w:p>
    <w:sectPr w:rsidR="00FC693F" w:rsidRPr="0006063C" w:rsidSect="00034616">
      <w:pgSz w:w="11906" w:h="16838"/>
      <w:pgMar w:top="1701" w:right="1417" w:bottom="1701"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