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CS795 Course Project Proposals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 Rasmussen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Fall 2025</w:t>
      </w:r>
    </w:p>
    <w:p w:rsidR="00000000" w:rsidDel="00000000" w:rsidP="00000000" w:rsidRDefault="00000000" w:rsidRPr="00000000" w14:paraId="00000003">
      <w:pPr>
        <w:pStyle w:val="Heading2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342" w:hanging="342"/>
        <w:rPr/>
      </w:pPr>
      <w:r w:rsidDel="00000000" w:rsidR="00000000" w:rsidRPr="00000000">
        <w:rPr>
          <w:rtl w:val="0"/>
        </w:rPr>
        <w:t xml:space="preserve">TinyLLM: Evaluating Post-Training Quantization on a Small LLM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Large Language Models (LLMs) are powerful but computationally expensive, making deployment on laptops or edge devices challenging. This project focuses on post-training quantization (PTQ), a popular approach for reducing model size and improving inference speed without retraining.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Apply, evaluate, and compare two leading PTQ methods (GPTQ, AWQ) on the same open-source model (e.g., Phi-3-mini or Mistral-7B), creating fast, CPU-runnable versions while quantifying accuracy and efficiency trade-offs.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/ Benchmarks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WikiText-103 for perplexity; small subsets of MMLU, ARC-Easy, GSM8K; calibration set of ~1024 samples from C4/WikiText.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Components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 + dataset downloader, quantization pipeline (GPTQ &amp; AWQ), evaluation harness (memory, latency, throughput, perplexity, accuracy), packaging models to GGUF for llama.cpp demo.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Comparison table of model size, perplexity, accuracy, latency, memory footprint; notebook + CLI demo for local inference.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 Goal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Investigate SparseGPT pruning as a complementary compression step.</w:t>
      </w:r>
    </w:p>
    <w:p w:rsidR="00000000" w:rsidDel="00000000" w:rsidP="00000000" w:rsidRDefault="00000000" w:rsidRPr="00000000" w14:paraId="0000000C">
      <w:pPr>
        <w:pStyle w:val="Heading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2) Edge-RAG: A Private, On-Device QA System for Documents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Organizations in sensitive fields such as healthcare often need answers from private documents but cannot use cloud LLMs. This project builds a fully self-contained, offline RAG pipeline running entirely on a laptop.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Demonstrate an end-to-end private QA system with local retrieval, quantized reader model, and measurable accuracy, all offline.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/ Benchmarks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Public PDFs (CMS fact sheets, benefit docs); 50–100 labeled QA pairs; metrics: recall@k, EM/F1, latency (&lt;2s).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Components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PDF ingestion + chunking to FAISS, retriever (MiniLM), quantized reader model (Phi-3-mini-4k-instruct-q4.gguf), evaluation harness (EM/F1), CLI demo.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 Goal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Experiment with re-ranking or chunk-size tuning for improved recall.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Abdin et al. (2024). Phi-3 Technical Report. arXiv:2404.14219.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Touvron et al. (2023). LLaMA-2: Open Foundation and Fine-Tuned Chat Models. arXiv:2307.09288.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Frantar et al. (2022). GPTQ: Accurate Post-Training Quantization for Generative Pre-trained Transformers. arXiv:2210.17323.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et al. (2023). AWQ: Activation-Aware Weight Quantization for LLMs. arXiv:2306.00978.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Merity et al. (2016). WikiText Language Modeling Dataset. Salesforce Research. Available at: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https://www.salesforce.com/blog/the-wikitext-long-term-dependency-language-modeling-dataset/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 et al. (2020). Retrieval-Augmented Generation for Knowledge-Intensive NLP Tasks. arXiv:2005.11401.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Reimers &amp; Gurevych (2019). Sentence-BERT: Sentence Embeddings using Siamese BERT-Networks. arXiv:1908.10084.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J., Douze, M., &amp; Jégou, H. (2017).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Billion-scale similarity search with GPUs.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arXiv:1702.08734.</w:t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42" w:hanging="342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1342" w:hanging="342.0000000000001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2342" w:hanging="342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3342" w:hanging="342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4342" w:hanging="342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5342" w:hanging="341.9999999999991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6342" w:hanging="342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7342" w:hanging="342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8342" w:hanging="342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276" w:lineRule="auto"/>
      <w:ind w:left="0" w:right="0" w:firstLine="0"/>
      <w:jc w:val="left"/>
      <w:outlineLvl w:val="0"/>
    </w:pPr>
    <w:rPr>
      <w:rFonts w:ascii="Calibri" w:cs="Arial Unicode MS" w:eastAsia="Arial Unicode MS" w:hAnsi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color="365f91" w:val="none"/>
      <w:shd w:color="auto" w:fill="auto" w:val="nil"/>
      <w:vertAlign w:val="baseline"/>
      <w:lang w:val="en-US"/>
      <w14:textFill>
        <w14:solidFill>
          <w14:srgbClr w14:val="365F91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Lettered">
    <w:name w:val="Lettered"/>
    <w:pPr>
      <w:numPr>
        <w:numId w:val="1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lesforce.com/blog/the-wikitext-long-term-dependency-language-modeling-dataset/?utm_source=chatgpt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sLW5JZ/HewaKp6YDIk6ZxToTw==">CgMxLjA4AHIhMWEtS2plTllqcjV3UGdKbXNBUkJYTkRZclNINDRZMU9j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