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0"/>
        </w:rPr>
        <w:t>PROJECT PLAN &amp; TIMELINE</w:t>
      </w:r>
    </w:p>
    <w:p>
      <w:pPr>
        <w:jc w:val="center"/>
      </w:pPr>
      <w:r>
        <w:rPr>
          <w:b/>
          <w:color w:val="006A4E"/>
          <w:sz w:val="26"/>
        </w:rPr>
        <w:t>Implementasi Property Management System — Odoo 19 Community</w:t>
        <w:br/>
        <w:t>1 Juli 2026 — Go-Live 1 Januari 2027</w:t>
      </w:r>
    </w:p>
    <w:p/>
    <w:tbl>
      <w:tblPr>
        <w:tblStyle w:val="TableGrid"/>
        <w:tblW w:type="auto" w:w="0"/>
        <w:tblLook w:firstColumn="1" w:firstRow="1" w:lastColumn="0" w:lastRow="0" w:noHBand="0" w:noVBand="1" w:val="04A0"/>
      </w:tblPr>
      <w:tblGrid>
        <w:gridCol w:w="7056"/>
        <w:gridCol w:w="7056"/>
      </w:tblGrid>
      <w:tr>
        <w:tc>
          <w:tcPr>
            <w:tcW w:type="dxa" w:w="3312"/>
            <w:shd w:val="clear" w:color="auto" w:fill="E7ECF5"/>
          </w:tcPr>
          <w:p>
            <w:r/>
            <w:r>
              <w:rPr>
                <w:b/>
                <w:sz w:val="20"/>
              </w:rPr>
              <w:t>Proyek</w:t>
            </w:r>
          </w:p>
        </w:tc>
        <w:tc>
          <w:tcPr>
            <w:tcW w:type="dxa" w:w="10800"/>
          </w:tcPr>
          <w:p>
            <w:r/>
            <w:r>
              <w:rPr>
                <w:b w:val="0"/>
                <w:sz w:val="20"/>
              </w:rPr>
              <w:t>Implementasi PMS Odoo 19 (addon rental_management + 26 modul companion)</w:t>
            </w:r>
          </w:p>
        </w:tc>
      </w:tr>
      <w:tr>
        <w:tc>
          <w:tcPr>
            <w:tcW w:type="dxa" w:w="3312"/>
            <w:shd w:val="clear" w:color="auto" w:fill="E7ECF5"/>
          </w:tcPr>
          <w:p>
            <w:r/>
            <w:r>
              <w:rPr>
                <w:b/>
                <w:sz w:val="20"/>
              </w:rPr>
              <w:t>Periode</w:t>
            </w:r>
          </w:p>
        </w:tc>
        <w:tc>
          <w:tcPr>
            <w:tcW w:type="dxa" w:w="10800"/>
          </w:tcPr>
          <w:p>
            <w:r/>
            <w:r>
              <w:rPr>
                <w:b w:val="0"/>
                <w:sz w:val="20"/>
              </w:rPr>
              <w:t>1 Juli 2026 – 1 Januari 2027 (6 bulan)</w:t>
            </w:r>
          </w:p>
        </w:tc>
      </w:tr>
      <w:tr>
        <w:tc>
          <w:tcPr>
            <w:tcW w:type="dxa" w:w="3312"/>
            <w:shd w:val="clear" w:color="auto" w:fill="E7ECF5"/>
          </w:tcPr>
          <w:p>
            <w:r/>
            <w:r>
              <w:rPr>
                <w:b/>
                <w:sz w:val="20"/>
              </w:rPr>
              <w:t>Go-Live</w:t>
            </w:r>
          </w:p>
        </w:tc>
        <w:tc>
          <w:tcPr>
            <w:tcW w:type="dxa" w:w="10800"/>
          </w:tcPr>
          <w:p>
            <w:r/>
            <w:r>
              <w:rPr>
                <w:b w:val="0"/>
                <w:sz w:val="20"/>
              </w:rPr>
              <w:t>1 Januari 2027 — bertepatan dengan awal tahun fiskal (Jan–Des)</w:t>
            </w:r>
          </w:p>
        </w:tc>
      </w:tr>
      <w:tr>
        <w:tc>
          <w:tcPr>
            <w:tcW w:type="dxa" w:w="3312"/>
            <w:shd w:val="clear" w:color="auto" w:fill="E7ECF5"/>
          </w:tcPr>
          <w:p>
            <w:r/>
            <w:r>
              <w:rPr>
                <w:b/>
                <w:sz w:val="20"/>
              </w:rPr>
              <w:t>Status saat plan disusun</w:t>
            </w:r>
          </w:p>
        </w:tc>
        <w:tc>
          <w:tcPr>
            <w:tcW w:type="dxa" w:w="10800"/>
          </w:tcPr>
          <w:p>
            <w:r/>
            <w:r>
              <w:rPr>
                <w:b w:val="0"/>
                <w:sz w:val="20"/>
              </w:rPr>
              <w:t>Pengembangan 26 modul selesai (validasi statis); belum smoke test pada instance Odoo 19 live</w:t>
            </w:r>
          </w:p>
        </w:tc>
      </w:tr>
      <w:tr>
        <w:tc>
          <w:tcPr>
            <w:tcW w:type="dxa" w:w="3312"/>
            <w:shd w:val="clear" w:color="auto" w:fill="E7ECF5"/>
          </w:tcPr>
          <w:p>
            <w:r/>
            <w:r>
              <w:rPr>
                <w:b/>
                <w:sz w:val="20"/>
              </w:rPr>
              <w:t>Metodologi</w:t>
            </w:r>
          </w:p>
        </w:tc>
        <w:tc>
          <w:tcPr>
            <w:tcW w:type="dxa" w:w="10800"/>
          </w:tcPr>
          <w:p>
            <w:r/>
            <w:r>
              <w:rPr>
                <w:b w:val="0"/>
                <w:sz w:val="20"/>
              </w:rPr>
              <w:t>Fase bertahap (waterfall dengan iterasi perbaikan pada SIT/UAT)</w:t>
            </w:r>
          </w:p>
        </w:tc>
      </w:tr>
      <w:tr>
        <w:tc>
          <w:tcPr>
            <w:tcW w:type="dxa" w:w="3312"/>
            <w:shd w:val="clear" w:color="auto" w:fill="E7ECF5"/>
          </w:tcPr>
          <w:p>
            <w:r/>
            <w:r>
              <w:rPr>
                <w:b/>
                <w:sz w:val="20"/>
              </w:rPr>
              <w:t>Disusun oleh</w:t>
            </w:r>
          </w:p>
        </w:tc>
        <w:tc>
          <w:tcPr>
            <w:tcW w:type="dxa" w:w="10800"/>
          </w:tcPr>
          <w:p>
            <w:r/>
            <w:r>
              <w:rPr>
                <w:b w:val="0"/>
                <w:sz w:val="20"/>
              </w:rPr>
              <w:t>System Analyst / Functional &amp; Odoo Developer</w:t>
            </w:r>
          </w:p>
        </w:tc>
      </w:tr>
      <w:tr>
        <w:tc>
          <w:tcPr>
            <w:tcW w:type="dxa" w:w="3312"/>
            <w:shd w:val="clear" w:color="auto" w:fill="E7ECF5"/>
          </w:tcPr>
          <w:p>
            <w:r/>
            <w:r>
              <w:rPr>
                <w:b/>
                <w:sz w:val="20"/>
              </w:rPr>
              <w:t>Tanggal</w:t>
            </w:r>
          </w:p>
        </w:tc>
        <w:tc>
          <w:tcPr>
            <w:tcW w:type="dxa" w:w="10800"/>
          </w:tcPr>
          <w:p>
            <w:r/>
            <w:r>
              <w:rPr>
                <w:b w:val="0"/>
                <w:sz w:val="20"/>
              </w:rPr>
              <w:t>10 Juli 2026</w:t>
            </w:r>
          </w:p>
        </w:tc>
      </w:tr>
    </w:tbl>
    <w:p>
      <w:r>
        <w:br w:type="page"/>
      </w:r>
    </w:p>
    <w:p>
      <w:pPr>
        <w:pStyle w:val="Heading1"/>
      </w:pPr>
      <w:r>
        <w:rPr>
          <w:color w:val="1F3964"/>
          <w:sz w:val="30"/>
        </w:rPr>
        <w:t>1. Ringkasan Eksekutif</w:t>
      </w:r>
    </w:p>
    <w:p>
      <w:pPr>
        <w:spacing w:after="120"/>
      </w:pPr>
      <w:r>
        <w:rPr>
          <w:b w:val="0"/>
          <w:i w:val="0"/>
          <w:sz w:val="21"/>
        </w:rPr>
        <w:t>Proyek ini mengimplementasikan Property Management System berbasis Odoo 19 Community (addon rental_management + 26 modul companion yang telah dikembangkan) hingga go-live produksi pada 1 Januari 2027. Tanggal go-live dipilih bertepatan dengan awal tahun fiskal (Januari–Desember) sehingga saldo awal, budget, dan pelaporan Owners Statement dimulai bersih dari periode pertama tahun buku.</w:t>
      </w:r>
    </w:p>
    <w:p>
      <w:pPr>
        <w:pStyle w:val="ListBullet"/>
      </w:pPr>
      <w:r>
        <w:rPr>
          <w:b/>
        </w:rPr>
        <w:t xml:space="preserve">Posisi saat ini: </w:t>
      </w:r>
      <w:r>
        <w:t>Seluruh kode modul telah selesai dibangun dan lolos validasi statis (sintaks Python/XML/CSV); belum pernah dijalankan pada instance Odoo 19 live — karena itu fase awal difokuskan pada smoke test menyeluruh di staging.</w:t>
      </w:r>
    </w:p>
    <w:p>
      <w:pPr>
        <w:pStyle w:val="ListBullet"/>
      </w:pPr>
      <w:r>
        <w:rPr>
          <w:b/>
        </w:rPr>
        <w:t xml:space="preserve">Dependensi: </w:t>
      </w:r>
      <w:r>
        <w:t>Jawaban kuesioner SME (117 pertanyaan, area A–AF) menjadi prasyarat konfigurasi; beberapa keputusan kritikal (arah integrasi CORETAX) masih terbuka dan dijadwalkan final pada Fase 1.</w:t>
      </w:r>
    </w:p>
    <w:p>
      <w:pPr>
        <w:pStyle w:val="ListBullet"/>
      </w:pPr>
      <w:r>
        <w:rPr>
          <w:b/>
        </w:rPr>
        <w:t xml:space="preserve">Mitigasi utama: </w:t>
      </w:r>
      <w:r>
        <w:t>Paralel run dua siklus billing penuh (November &amp; Desember 2026) sebelum cut-over.</w:t>
      </w:r>
    </w:p>
    <w:p>
      <w:pPr>
        <w:pStyle w:val="Heading2"/>
      </w:pPr>
      <w:r>
        <w:rPr>
          <w:color w:val="006A4E"/>
          <w:sz w:val="25"/>
        </w:rPr>
        <w:t>1.1 Sasaran Proyek</w:t>
      </w:r>
    </w:p>
    <w:p>
      <w:pPr>
        <w:pStyle w:val="ListBullet"/>
      </w:pPr>
      <w:r>
        <w:t>Sistem produksi berjalan stabil per 1 Januari 2027 dengan seluruh modul terpasang &amp; terkonfigurasi.</w:t>
      </w:r>
    </w:p>
    <w:p>
      <w:pPr>
        <w:pStyle w:val="ListBullet"/>
      </w:pPr>
      <w:r>
        <w:t>Owners Statement Desember 2026 (hasil paralel run) tervalidasi cocok dengan sistem lama (MRI).</w:t>
      </w:r>
    </w:p>
    <w:p>
      <w:pPr>
        <w:pStyle w:val="ListBullet"/>
      </w:pPr>
      <w:r>
        <w:t>Data master &amp; saldo awal termigrasi lengkap dan tervalidasi (tenant balance, deposit, budget, aset).</w:t>
      </w:r>
    </w:p>
    <w:p>
      <w:pPr>
        <w:pStyle w:val="ListBullet"/>
      </w:pPr>
      <w:r>
        <w:t>User operasional &amp; accounting terlatih dan lulus UAT (79+ skenario, target 100% eksekusi, ≥95% pass).</w:t>
      </w:r>
    </w:p>
    <w:p>
      <w:pPr>
        <w:pStyle w:val="Heading1"/>
      </w:pPr>
      <w:r>
        <w:rPr>
          <w:color w:val="1F3964"/>
          <w:sz w:val="30"/>
        </w:rPr>
        <w:t>2. Lingkup</w:t>
      </w:r>
    </w:p>
    <w:tbl>
      <w:tblPr>
        <w:tblStyle w:val="TableGrid"/>
        <w:tblW w:type="auto" w:w="0"/>
        <w:jc w:val="center"/>
        <w:tblLook w:firstColumn="1" w:firstRow="1" w:lastColumn="0" w:lastRow="0" w:noHBand="0" w:noVBand="1" w:val="04A0"/>
      </w:tblPr>
      <w:tblGrid>
        <w:gridCol w:w="7056"/>
        <w:gridCol w:w="7056"/>
      </w:tblGrid>
      <w:tr>
        <w:tc>
          <w:tcPr>
            <w:tcW w:type="dxa" w:w="7056"/>
            <w:shd w:val="clear" w:color="auto" w:fill="1F3964"/>
          </w:tcPr>
          <w:p>
            <w:r/>
            <w:r>
              <w:rPr>
                <w:b/>
                <w:color w:val="FFFFFF"/>
                <w:sz w:val="18"/>
              </w:rPr>
              <w:t>Termasuk (In-Scope)</w:t>
            </w:r>
          </w:p>
        </w:tc>
        <w:tc>
          <w:tcPr>
            <w:tcW w:type="dxa" w:w="7056"/>
            <w:shd w:val="clear" w:color="auto" w:fill="1F3964"/>
          </w:tcPr>
          <w:p>
            <w:r/>
            <w:r>
              <w:rPr>
                <w:b/>
                <w:color w:val="FFFFFF"/>
                <w:sz w:val="18"/>
              </w:rPr>
              <w:t>Tidak Termasuk (Out-of-Scope)</w:t>
            </w:r>
          </w:p>
        </w:tc>
      </w:tr>
      <w:tr>
        <w:tc>
          <w:tcPr>
            <w:tcW w:type="dxa" w:w="7056"/>
          </w:tcPr>
          <w:p>
            <w:r/>
            <w:r>
              <w:rPr>
                <w:b w:val="0"/>
                <w:sz w:val="17"/>
              </w:rPr>
              <w:t>Instalasi &amp; konfigurasi Odoo 19 CE + rental_management + 26 modul companion pada server staging &amp; produksi</w:t>
            </w:r>
          </w:p>
        </w:tc>
        <w:tc>
          <w:tcPr>
            <w:tcW w:type="dxa" w:w="7056"/>
          </w:tcPr>
          <w:p>
            <w:r/>
            <w:r>
              <w:rPr>
                <w:b w:val="0"/>
                <w:sz w:val="17"/>
              </w:rPr>
              <w:t>Kustomisasi baru di luar 26 modul yang sudah dibangun (masuk change request)</w:t>
            </w:r>
          </w:p>
        </w:tc>
      </w:tr>
      <w:tr>
        <w:tc>
          <w:tcPr>
            <w:tcW w:type="dxa" w:w="7056"/>
          </w:tcPr>
          <w:p>
            <w:r/>
            <w:r>
              <w:rPr>
                <w:b w:val="0"/>
                <w:sz w:val="17"/>
              </w:rPr>
              <w:t>Konfigurasi: CoA &amp; Report Category, owners %, analytic, trust/deposit, produk layanan, tarif, cron, hak akses, portal</w:t>
            </w:r>
          </w:p>
        </w:tc>
        <w:tc>
          <w:tcPr>
            <w:tcW w:type="dxa" w:w="7056"/>
          </w:tcPr>
          <w:p>
            <w:r/>
            <w:r>
              <w:rPr>
                <w:b w:val="0"/>
                <w:sz w:val="17"/>
              </w:rPr>
              <w:t>Integrasi host-to-host bank / virtual account / payment gateway / POS (fase lanjutan)</w:t>
            </w:r>
          </w:p>
        </w:tc>
      </w:tr>
      <w:tr>
        <w:tc>
          <w:tcPr>
            <w:tcW w:type="dxa" w:w="7056"/>
          </w:tcPr>
          <w:p>
            <w:r/>
            <w:r>
              <w:rPr>
                <w:b w:val="0"/>
                <w:sz w:val="17"/>
              </w:rPr>
              <w:t>Migrasi data dari MRI: master properti/unit/tenant/kontrak + saldo awal (tenant balance, deposit, budget, aset &amp; akumulasi)</w:t>
            </w:r>
          </w:p>
        </w:tc>
        <w:tc>
          <w:tcPr>
            <w:tcW w:type="dxa" w:w="7056"/>
          </w:tcPr>
          <w:p>
            <w:r/>
            <w:r>
              <w:rPr>
                <w:b w:val="0"/>
                <w:sz w:val="17"/>
              </w:rPr>
              <w:t>Pembersihan (cleansing) data sumber di sisi MRI — tanggung jawab tim data user</w:t>
            </w:r>
          </w:p>
        </w:tc>
      </w:tr>
      <w:tr>
        <w:tc>
          <w:tcPr>
            <w:tcW w:type="dxa" w:w="7056"/>
          </w:tcPr>
          <w:p>
            <w:r/>
            <w:r>
              <w:rPr>
                <w:b w:val="0"/>
                <w:sz w:val="17"/>
              </w:rPr>
              <w:t>SIT, UAT (79+ skenario), pelatihan user, paralel run 2 bulan, cut-over, dukungan hypercare</w:t>
            </w:r>
          </w:p>
        </w:tc>
        <w:tc>
          <w:tcPr>
            <w:tcW w:type="dxa" w:w="7056"/>
          </w:tcPr>
          <w:p>
            <w:r/>
            <w:r>
              <w:rPr>
                <w:b w:val="0"/>
                <w:sz w:val="17"/>
              </w:rPr>
              <w:t>Perubahan proses bisnis di luar yang terdokumentasi pada Blueprint</w:t>
            </w:r>
          </w:p>
        </w:tc>
      </w:tr>
      <w:tr>
        <w:tc>
          <w:tcPr>
            <w:tcW w:type="dxa" w:w="7056"/>
          </w:tcPr>
          <w:p>
            <w:r/>
            <w:r>
              <w:rPr>
                <w:b w:val="0"/>
                <w:sz w:val="17"/>
              </w:rPr>
              <w:t>Validasi XML CORETAX terhadap XSD resmi DJP &amp; uji unggah ke portal CORETAX</w:t>
            </w:r>
          </w:p>
        </w:tc>
        <w:tc>
          <w:tcPr>
            <w:tcW w:type="dxa" w:w="7056"/>
          </w:tcPr>
          <w:p>
            <w:r/>
            <w:r>
              <w:rPr>
                <w:b w:val="0"/>
                <w:sz w:val="17"/>
              </w:rPr>
              <w:t>Pengurusan administrasi perpajakan itu sendiri (tetap oleh tim pajak)</w:t>
            </w:r>
          </w:p>
        </w:tc>
      </w:tr>
    </w:tbl>
    <w:p/>
    <w:p>
      <w:r>
        <w:br w:type="page"/>
      </w:r>
    </w:p>
    <w:p>
      <w:pPr>
        <w:pStyle w:val="Heading1"/>
      </w:pPr>
      <w:r>
        <w:rPr>
          <w:color w:val="1F3964"/>
          <w:sz w:val="30"/>
        </w:rPr>
        <w:t>3. Fase Proyek &amp; Timeline</w:t>
      </w:r>
    </w:p>
    <w:p>
      <w:pPr>
        <w:spacing w:after="120"/>
      </w:pPr>
      <w:r>
        <w:rPr>
          <w:b w:val="0"/>
          <w:i w:val="0"/>
          <w:sz w:val="21"/>
        </w:rPr>
        <w:t>Enam fase dalam 6 bulan. Tanggal adalah target; pergeseran dikelola lewat manajemen risiko (Bagian 7).</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592"/>
            <w:shd w:val="clear" w:color="auto" w:fill="1F3964"/>
          </w:tcPr>
          <w:p>
            <w:r/>
            <w:r>
              <w:rPr>
                <w:b/>
                <w:color w:val="FFFFFF"/>
                <w:sz w:val="18"/>
              </w:rPr>
              <w:t>Fase</w:t>
            </w:r>
          </w:p>
        </w:tc>
        <w:tc>
          <w:tcPr>
            <w:tcW w:type="dxa" w:w="1728"/>
            <w:shd w:val="clear" w:color="auto" w:fill="1F3964"/>
          </w:tcPr>
          <w:p>
            <w:r/>
            <w:r>
              <w:rPr>
                <w:b/>
                <w:color w:val="FFFFFF"/>
                <w:sz w:val="18"/>
              </w:rPr>
              <w:t>Periode</w:t>
            </w:r>
          </w:p>
        </w:tc>
        <w:tc>
          <w:tcPr>
            <w:tcW w:type="dxa" w:w="5760"/>
            <w:shd w:val="clear" w:color="auto" w:fill="1F3964"/>
          </w:tcPr>
          <w:p>
            <w:r/>
            <w:r>
              <w:rPr>
                <w:b/>
                <w:color w:val="FFFFFF"/>
                <w:sz w:val="18"/>
              </w:rPr>
              <w:t>Aktivitas Utama</w:t>
            </w:r>
          </w:p>
        </w:tc>
        <w:tc>
          <w:tcPr>
            <w:tcW w:type="dxa" w:w="4032"/>
            <w:shd w:val="clear" w:color="auto" w:fill="1F3964"/>
          </w:tcPr>
          <w:p>
            <w:r/>
            <w:r>
              <w:rPr>
                <w:b/>
                <w:color w:val="FFFFFF"/>
                <w:sz w:val="18"/>
              </w:rPr>
              <w:t>Deliverable / Exit Criteria</w:t>
            </w:r>
          </w:p>
        </w:tc>
      </w:tr>
      <w:tr>
        <w:tc>
          <w:tcPr>
            <w:tcW w:type="dxa" w:w="2592"/>
          </w:tcPr>
          <w:p>
            <w:r/>
            <w:r>
              <w:rPr>
                <w:b w:val="0"/>
                <w:sz w:val="17"/>
              </w:rPr>
              <w:t>F1. Persiapan &amp; Finalisasi Kebutuhan</w:t>
            </w:r>
          </w:p>
        </w:tc>
        <w:tc>
          <w:tcPr>
            <w:tcW w:type="dxa" w:w="1728"/>
          </w:tcPr>
          <w:p>
            <w:r/>
            <w:r>
              <w:rPr>
                <w:b w:val="0"/>
                <w:sz w:val="17"/>
              </w:rPr>
              <w:t>1 Jul – 31 Jul 2026</w:t>
            </w:r>
          </w:p>
        </w:tc>
        <w:tc>
          <w:tcPr>
            <w:tcW w:type="dxa" w:w="5760"/>
          </w:tcPr>
          <w:p>
            <w:r/>
            <w:r>
              <w:rPr>
                <w:b w:val="0"/>
                <w:sz w:val="16"/>
              </w:rPr>
              <w:t>Kick-off; pengisian &amp; konsolidasi kuesioner SME (117 pertanyaan); finalisasi keputusan terbuka (arah integrasi CORETAX, mapping akun→Report Category dari Accounting); penyiapan server staging; freeze lingkup.</w:t>
            </w:r>
          </w:p>
        </w:tc>
        <w:tc>
          <w:tcPr>
            <w:tcW w:type="dxa" w:w="4032"/>
          </w:tcPr>
          <w:p>
            <w:r/>
            <w:r>
              <w:rPr>
                <w:b w:val="0"/>
                <w:sz w:val="16"/>
              </w:rPr>
              <w:t>Kuesioner SME terisi &amp; disetujui; keputusan CORETAX final; staging siap; scope freeze ditandatangani.</w:t>
            </w:r>
          </w:p>
        </w:tc>
      </w:tr>
      <w:tr>
        <w:tc>
          <w:tcPr>
            <w:tcW w:type="dxa" w:w="2592"/>
          </w:tcPr>
          <w:p>
            <w:r/>
            <w:r>
              <w:rPr>
                <w:b w:val="0"/>
                <w:sz w:val="17"/>
              </w:rPr>
              <w:t>F2. Instalasi, Smoke Test &amp; Stabilisasi</w:t>
            </w:r>
          </w:p>
        </w:tc>
        <w:tc>
          <w:tcPr>
            <w:tcW w:type="dxa" w:w="1728"/>
          </w:tcPr>
          <w:p>
            <w:r/>
            <w:r>
              <w:rPr>
                <w:b w:val="0"/>
                <w:sz w:val="17"/>
              </w:rPr>
              <w:t>1 Agu – 31 Agu 2026</w:t>
            </w:r>
          </w:p>
        </w:tc>
        <w:tc>
          <w:tcPr>
            <w:tcW w:type="dxa" w:w="5760"/>
          </w:tcPr>
          <w:p>
            <w:r/>
            <w:r>
              <w:rPr>
                <w:b w:val="0"/>
                <w:sz w:val="16"/>
              </w:rPr>
              <w:t>Instal Odoo 19 CE + rental_management + 26 modul di staging (urutan dependensi per Blueprint §4); smoke test seluruh titik sensitif versi (inherit view, analytic, portal); perbaikan bug instalasi; validasi XML CORETAX vs XSD DJP.</w:t>
            </w:r>
          </w:p>
        </w:tc>
        <w:tc>
          <w:tcPr>
            <w:tcW w:type="dxa" w:w="4032"/>
          </w:tcPr>
          <w:p>
            <w:r/>
            <w:r>
              <w:rPr>
                <w:b w:val="0"/>
                <w:sz w:val="16"/>
              </w:rPr>
              <w:t>Semua modul terpasang tanpa error; daftar temuan smoke test ditutup; XML CORETAX lolos XSD.</w:t>
            </w:r>
          </w:p>
        </w:tc>
      </w:tr>
      <w:tr>
        <w:tc>
          <w:tcPr>
            <w:tcW w:type="dxa" w:w="2592"/>
          </w:tcPr>
          <w:p>
            <w:r/>
            <w:r>
              <w:rPr>
                <w:b w:val="0"/>
                <w:sz w:val="17"/>
              </w:rPr>
              <w:t>F3. Konfigurasi &amp; Migrasi Data (siklus 1)</w:t>
            </w:r>
          </w:p>
        </w:tc>
        <w:tc>
          <w:tcPr>
            <w:tcW w:type="dxa" w:w="1728"/>
          </w:tcPr>
          <w:p>
            <w:r/>
            <w:r>
              <w:rPr>
                <w:b w:val="0"/>
                <w:sz w:val="17"/>
              </w:rPr>
              <w:t>1 Sep – 30 Sep 2026</w:t>
            </w:r>
          </w:p>
        </w:tc>
        <w:tc>
          <w:tcPr>
            <w:tcW w:type="dxa" w:w="5760"/>
          </w:tcPr>
          <w:p>
            <w:r/>
            <w:r>
              <w:rPr>
                <w:b w:val="0"/>
                <w:sz w:val="16"/>
              </w:rPr>
              <w:t>Konfigurasi penuh per Blueprint §5 (12 subseksi); template import &amp; trial migrasi data MRI (master + saldo awal); rekonsiliasi hasil trial; SIT alur ujung-ke-ujung.</w:t>
            </w:r>
          </w:p>
        </w:tc>
        <w:tc>
          <w:tcPr>
            <w:tcW w:type="dxa" w:w="4032"/>
          </w:tcPr>
          <w:p>
            <w:r/>
            <w:r>
              <w:rPr>
                <w:b w:val="0"/>
                <w:sz w:val="16"/>
              </w:rPr>
              <w:t>Konfigurasi selesai &amp; didokumentasikan; trial migrasi rekonsil 100% pada sampel; SIT lulus.</w:t>
            </w:r>
          </w:p>
        </w:tc>
      </w:tr>
      <w:tr>
        <w:tc>
          <w:tcPr>
            <w:tcW w:type="dxa" w:w="2592"/>
          </w:tcPr>
          <w:p>
            <w:r/>
            <w:r>
              <w:rPr>
                <w:b w:val="0"/>
                <w:sz w:val="17"/>
              </w:rPr>
              <w:t>F4. UAT &amp; Pelatihan</w:t>
            </w:r>
          </w:p>
        </w:tc>
        <w:tc>
          <w:tcPr>
            <w:tcW w:type="dxa" w:w="1728"/>
          </w:tcPr>
          <w:p>
            <w:r/>
            <w:r>
              <w:rPr>
                <w:b w:val="0"/>
                <w:sz w:val="17"/>
              </w:rPr>
              <w:t>1 Okt – 31 Okt 2026</w:t>
            </w:r>
          </w:p>
        </w:tc>
        <w:tc>
          <w:tcPr>
            <w:tcW w:type="dxa" w:w="5760"/>
          </w:tcPr>
          <w:p>
            <w:r/>
            <w:r>
              <w:rPr>
                <w:b w:val="0"/>
                <w:sz w:val="16"/>
              </w:rPr>
              <w:t>Pelatihan user operasional &amp; accounting (berbasis Panduan Pengguna 13 BAB); eksekusi UAT 79+ skenario; perbaikan defect; regresi; sign-off UAT.</w:t>
            </w:r>
          </w:p>
        </w:tc>
        <w:tc>
          <w:tcPr>
            <w:tcW w:type="dxa" w:w="4032"/>
          </w:tcPr>
          <w:p>
            <w:r/>
            <w:r>
              <w:rPr>
                <w:b w:val="0"/>
                <w:sz w:val="16"/>
              </w:rPr>
              <w:t>UAT 100% dieksekusi, ≥95% pass, tanpa defect kritikal terbuka; berita acara sign-off UAT.</w:t>
            </w:r>
          </w:p>
        </w:tc>
      </w:tr>
      <w:tr>
        <w:tc>
          <w:tcPr>
            <w:tcW w:type="dxa" w:w="2592"/>
          </w:tcPr>
          <w:p>
            <w:r/>
            <w:r>
              <w:rPr>
                <w:b w:val="0"/>
                <w:sz w:val="17"/>
              </w:rPr>
              <w:t>F5. Paralel Run &amp; Persiapan Cut-over</w:t>
            </w:r>
          </w:p>
        </w:tc>
        <w:tc>
          <w:tcPr>
            <w:tcW w:type="dxa" w:w="1728"/>
          </w:tcPr>
          <w:p>
            <w:r/>
            <w:r>
              <w:rPr>
                <w:b w:val="0"/>
                <w:sz w:val="17"/>
              </w:rPr>
              <w:t>1 Nov – 31 Des 2026</w:t>
            </w:r>
          </w:p>
        </w:tc>
        <w:tc>
          <w:tcPr>
            <w:tcW w:type="dxa" w:w="5760"/>
          </w:tcPr>
          <w:p>
            <w:r/>
            <w:r>
              <w:rPr>
                <w:b w:val="0"/>
                <w:sz w:val="16"/>
              </w:rPr>
              <w:t>Migrasi data final (cut-off 31 Okt); paralel run siklus billing November &amp; Desember di dua sistem; bandingkan Owners Statement vs MRI; go/no-go review pertengahan Desember; migrasi delta &amp; penguncian; gladi cut-over.</w:t>
            </w:r>
          </w:p>
        </w:tc>
        <w:tc>
          <w:tcPr>
            <w:tcW w:type="dxa" w:w="4032"/>
          </w:tcPr>
          <w:p>
            <w:r/>
            <w:r>
              <w:rPr>
                <w:b w:val="0"/>
                <w:sz w:val="16"/>
              </w:rPr>
              <w:t>Dua siklus paralel cocok (selisih = 0 atau terjelaskan); keputusan GO tertulis; runbook cut-over final.</w:t>
            </w:r>
          </w:p>
        </w:tc>
      </w:tr>
      <w:tr>
        <w:tc>
          <w:tcPr>
            <w:tcW w:type="dxa" w:w="2592"/>
          </w:tcPr>
          <w:p>
            <w:r/>
            <w:r>
              <w:rPr>
                <w:b w:val="0"/>
                <w:sz w:val="17"/>
              </w:rPr>
              <w:t>F6. Go-Live &amp; Hypercare</w:t>
            </w:r>
          </w:p>
        </w:tc>
        <w:tc>
          <w:tcPr>
            <w:tcW w:type="dxa" w:w="1728"/>
          </w:tcPr>
          <w:p>
            <w:r/>
            <w:r>
              <w:rPr>
                <w:b w:val="0"/>
                <w:sz w:val="17"/>
              </w:rPr>
              <w:t>1 Jan 2027 (+ 4 minggu hypercare)</w:t>
            </w:r>
          </w:p>
        </w:tc>
        <w:tc>
          <w:tcPr>
            <w:tcW w:type="dxa" w:w="5760"/>
          </w:tcPr>
          <w:p>
            <w:r/>
            <w:r>
              <w:rPr>
                <w:b w:val="0"/>
                <w:sz w:val="16"/>
              </w:rPr>
              <w:t>Cut-over produksi 1 Januari 2027; MRI menjadi baca-saja; pendampingan intensif; tutup buku Januari sebagai siklus produksi pertama; serah terima ke operasi rutin.</w:t>
            </w:r>
          </w:p>
        </w:tc>
        <w:tc>
          <w:tcPr>
            <w:tcW w:type="dxa" w:w="4032"/>
          </w:tcPr>
          <w:p>
            <w:r/>
            <w:r>
              <w:rPr>
                <w:b w:val="0"/>
                <w:sz w:val="16"/>
              </w:rPr>
              <w:t>Sistem produksi stabil; billing Januari &amp; Owners Statement Januari terbit dari sistem baru.</w:t>
            </w:r>
          </w:p>
        </w:tc>
      </w:tr>
    </w:tbl>
    <w:p/>
    <w:p>
      <w:r>
        <w:br w:type="page"/>
      </w:r>
    </w:p>
    <w:p>
      <w:pPr>
        <w:pStyle w:val="Heading1"/>
      </w:pPr>
      <w:r>
        <w:rPr>
          <w:color w:val="1F3964"/>
          <w:sz w:val="30"/>
        </w:rPr>
        <w:t>4. Gantt Chart (Ringkas)</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c>
          <w:tcPr>
            <w:tcW w:type="dxa" w:w="3744"/>
            <w:shd w:val="clear" w:color="auto" w:fill="1F3964"/>
          </w:tcPr>
          <w:p>
            <w:r/>
            <w:r>
              <w:rPr>
                <w:b/>
                <w:color w:val="FFFFFF"/>
                <w:sz w:val="18"/>
              </w:rPr>
              <w:t>Fase</w:t>
            </w:r>
          </w:p>
        </w:tc>
        <w:tc>
          <w:tcPr>
            <w:tcW w:type="dxa" w:w="1440"/>
            <w:shd w:val="clear" w:color="auto" w:fill="1F3964"/>
          </w:tcPr>
          <w:p>
            <w:pPr>
              <w:jc w:val="center"/>
            </w:pPr>
            <w:r/>
            <w:r>
              <w:rPr>
                <w:b/>
                <w:color w:val="FFFFFF"/>
                <w:sz w:val="17"/>
              </w:rPr>
              <w:t>Jul 26</w:t>
            </w:r>
          </w:p>
        </w:tc>
        <w:tc>
          <w:tcPr>
            <w:tcW w:type="dxa" w:w="1440"/>
            <w:shd w:val="clear" w:color="auto" w:fill="1F3964"/>
          </w:tcPr>
          <w:p>
            <w:pPr>
              <w:jc w:val="center"/>
            </w:pPr>
            <w:r/>
            <w:r>
              <w:rPr>
                <w:b/>
                <w:color w:val="FFFFFF"/>
                <w:sz w:val="17"/>
              </w:rPr>
              <w:t>Agu 26</w:t>
            </w:r>
          </w:p>
        </w:tc>
        <w:tc>
          <w:tcPr>
            <w:tcW w:type="dxa" w:w="1440"/>
            <w:shd w:val="clear" w:color="auto" w:fill="1F3964"/>
          </w:tcPr>
          <w:p>
            <w:pPr>
              <w:jc w:val="center"/>
            </w:pPr>
            <w:r/>
            <w:r>
              <w:rPr>
                <w:b/>
                <w:color w:val="FFFFFF"/>
                <w:sz w:val="17"/>
              </w:rPr>
              <w:t>Sep 26</w:t>
            </w:r>
          </w:p>
        </w:tc>
        <w:tc>
          <w:tcPr>
            <w:tcW w:type="dxa" w:w="1440"/>
            <w:shd w:val="clear" w:color="auto" w:fill="1F3964"/>
          </w:tcPr>
          <w:p>
            <w:pPr>
              <w:jc w:val="center"/>
            </w:pPr>
            <w:r/>
            <w:r>
              <w:rPr>
                <w:b/>
                <w:color w:val="FFFFFF"/>
                <w:sz w:val="17"/>
              </w:rPr>
              <w:t>Okt 26</w:t>
            </w:r>
          </w:p>
        </w:tc>
        <w:tc>
          <w:tcPr>
            <w:tcW w:type="dxa" w:w="1440"/>
            <w:shd w:val="clear" w:color="auto" w:fill="1F3964"/>
          </w:tcPr>
          <w:p>
            <w:pPr>
              <w:jc w:val="center"/>
            </w:pPr>
            <w:r/>
            <w:r>
              <w:rPr>
                <w:b/>
                <w:color w:val="FFFFFF"/>
                <w:sz w:val="17"/>
              </w:rPr>
              <w:t>Nov 26</w:t>
            </w:r>
          </w:p>
        </w:tc>
        <w:tc>
          <w:tcPr>
            <w:tcW w:type="dxa" w:w="1440"/>
            <w:shd w:val="clear" w:color="auto" w:fill="1F3964"/>
          </w:tcPr>
          <w:p>
            <w:pPr>
              <w:jc w:val="center"/>
            </w:pPr>
            <w:r/>
            <w:r>
              <w:rPr>
                <w:b/>
                <w:color w:val="FFFFFF"/>
                <w:sz w:val="17"/>
              </w:rPr>
              <w:t>Des 26</w:t>
            </w:r>
          </w:p>
        </w:tc>
        <w:tc>
          <w:tcPr>
            <w:tcW w:type="dxa" w:w="1440"/>
            <w:shd w:val="clear" w:color="auto" w:fill="1F3964"/>
          </w:tcPr>
          <w:p>
            <w:pPr>
              <w:jc w:val="center"/>
            </w:pPr>
            <w:r/>
            <w:r>
              <w:rPr>
                <w:b/>
                <w:color w:val="FFFFFF"/>
                <w:sz w:val="17"/>
              </w:rPr>
              <w:t>Jan 27</w:t>
            </w:r>
          </w:p>
        </w:tc>
      </w:tr>
      <w:tr>
        <w:tc>
          <w:tcPr>
            <w:tcW w:type="dxa" w:w="3744"/>
          </w:tcPr>
          <w:p>
            <w:r/>
            <w:r>
              <w:rPr>
                <w:b/>
                <w:sz w:val="17"/>
              </w:rPr>
              <w:t>F1 Persiapan &amp; Kebutuhan</w:t>
            </w:r>
          </w:p>
        </w:tc>
        <w:tc>
          <w:tcPr>
            <w:tcW w:type="dxa" w:w="1440"/>
            <w:shd w:val="clear" w:color="auto" w:fill="006A4E"/>
          </w:tcPr>
          <w:p>
            <w:pPr>
              <w:jc w:val="center"/>
            </w:pPr>
            <w:r/>
            <w:r>
              <w:rPr>
                <w:b w:val="0"/>
                <w:color w:val="FFFFFF"/>
                <w:sz w:val="17"/>
              </w:rPr>
              <w:t>█</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r>
      <w:tr>
        <w:tc>
          <w:tcPr>
            <w:tcW w:type="dxa" w:w="3744"/>
          </w:tcPr>
          <w:p>
            <w:r/>
            <w:r>
              <w:rPr>
                <w:b/>
                <w:sz w:val="17"/>
              </w:rPr>
              <w:t>F2 Instalasi &amp; Smoke Test</w:t>
            </w:r>
          </w:p>
        </w:tc>
        <w:tc>
          <w:tcPr>
            <w:tcW w:type="dxa" w:w="1440"/>
          </w:tcPr>
          <w:p>
            <w:r/>
            <w:r>
              <w:rPr>
                <w:b w:val="0"/>
                <w:sz w:val="17"/>
              </w:rPr>
            </w:r>
          </w:p>
        </w:tc>
        <w:tc>
          <w:tcPr>
            <w:tcW w:type="dxa" w:w="1440"/>
            <w:shd w:val="clear" w:color="auto" w:fill="006A4E"/>
          </w:tcPr>
          <w:p>
            <w:pPr>
              <w:jc w:val="center"/>
            </w:pPr>
            <w:r/>
            <w:r>
              <w:rPr>
                <w:b w:val="0"/>
                <w:color w:val="FFFFFF"/>
                <w:sz w:val="17"/>
              </w:rPr>
              <w:t>█</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r>
      <w:tr>
        <w:tc>
          <w:tcPr>
            <w:tcW w:type="dxa" w:w="3744"/>
          </w:tcPr>
          <w:p>
            <w:r/>
            <w:r>
              <w:rPr>
                <w:b/>
                <w:sz w:val="17"/>
              </w:rPr>
              <w:t>F3 Konfigurasi &amp; Migrasi 1</w:t>
            </w:r>
          </w:p>
        </w:tc>
        <w:tc>
          <w:tcPr>
            <w:tcW w:type="dxa" w:w="1440"/>
          </w:tcPr>
          <w:p>
            <w:r/>
            <w:r>
              <w:rPr>
                <w:b w:val="0"/>
                <w:sz w:val="17"/>
              </w:rPr>
            </w:r>
          </w:p>
        </w:tc>
        <w:tc>
          <w:tcPr>
            <w:tcW w:type="dxa" w:w="1440"/>
          </w:tcPr>
          <w:p>
            <w:r/>
            <w:r>
              <w:rPr>
                <w:b w:val="0"/>
                <w:sz w:val="17"/>
              </w:rPr>
            </w:r>
          </w:p>
        </w:tc>
        <w:tc>
          <w:tcPr>
            <w:tcW w:type="dxa" w:w="1440"/>
            <w:shd w:val="clear" w:color="auto" w:fill="006A4E"/>
          </w:tcPr>
          <w:p>
            <w:pPr>
              <w:jc w:val="center"/>
            </w:pPr>
            <w:r/>
            <w:r>
              <w:rPr>
                <w:b w:val="0"/>
                <w:color w:val="FFFFFF"/>
                <w:sz w:val="17"/>
              </w:rPr>
              <w:t>█</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r>
      <w:tr>
        <w:tc>
          <w:tcPr>
            <w:tcW w:type="dxa" w:w="3744"/>
          </w:tcPr>
          <w:p>
            <w:r/>
            <w:r>
              <w:rPr>
                <w:b/>
                <w:sz w:val="17"/>
              </w:rPr>
              <w:t>F4 UAT &amp; Pelatihan</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shd w:val="clear" w:color="auto" w:fill="006A4E"/>
          </w:tcPr>
          <w:p>
            <w:pPr>
              <w:jc w:val="center"/>
            </w:pPr>
            <w:r/>
            <w:r>
              <w:rPr>
                <w:b w:val="0"/>
                <w:color w:val="FFFFFF"/>
                <w:sz w:val="17"/>
              </w:rPr>
              <w:t>█</w:t>
            </w:r>
          </w:p>
        </w:tc>
        <w:tc>
          <w:tcPr>
            <w:tcW w:type="dxa" w:w="1440"/>
          </w:tcPr>
          <w:p>
            <w:r/>
            <w:r>
              <w:rPr>
                <w:b w:val="0"/>
                <w:sz w:val="17"/>
              </w:rPr>
            </w:r>
          </w:p>
        </w:tc>
        <w:tc>
          <w:tcPr>
            <w:tcW w:type="dxa" w:w="1440"/>
          </w:tcPr>
          <w:p>
            <w:r/>
            <w:r>
              <w:rPr>
                <w:b w:val="0"/>
                <w:sz w:val="17"/>
              </w:rPr>
            </w:r>
          </w:p>
        </w:tc>
        <w:tc>
          <w:tcPr>
            <w:tcW w:type="dxa" w:w="1440"/>
          </w:tcPr>
          <w:p>
            <w:r/>
            <w:r>
              <w:rPr>
                <w:b w:val="0"/>
                <w:sz w:val="17"/>
              </w:rPr>
            </w:r>
          </w:p>
        </w:tc>
      </w:tr>
      <w:tr>
        <w:tc>
          <w:tcPr>
            <w:tcW w:type="dxa" w:w="3744"/>
          </w:tcPr>
          <w:p>
            <w:r/>
            <w:r>
              <w:rPr>
                <w:b/>
                <w:sz w:val="17"/>
              </w:rPr>
              <w:t>F5 Paralel Run &amp; Cut-over Prep</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shd w:val="clear" w:color="auto" w:fill="006A4E"/>
          </w:tcPr>
          <w:p>
            <w:pPr>
              <w:jc w:val="center"/>
            </w:pPr>
            <w:r/>
            <w:r>
              <w:rPr>
                <w:b w:val="0"/>
                <w:color w:val="FFFFFF"/>
                <w:sz w:val="17"/>
              </w:rPr>
              <w:t>█</w:t>
            </w:r>
          </w:p>
        </w:tc>
        <w:tc>
          <w:tcPr>
            <w:tcW w:type="dxa" w:w="1440"/>
            <w:shd w:val="clear" w:color="auto" w:fill="006A4E"/>
          </w:tcPr>
          <w:p>
            <w:pPr>
              <w:jc w:val="center"/>
            </w:pPr>
            <w:r/>
            <w:r>
              <w:rPr>
                <w:b w:val="0"/>
                <w:color w:val="FFFFFF"/>
                <w:sz w:val="17"/>
              </w:rPr>
              <w:t>█</w:t>
            </w:r>
          </w:p>
        </w:tc>
        <w:tc>
          <w:tcPr>
            <w:tcW w:type="dxa" w:w="1440"/>
          </w:tcPr>
          <w:p>
            <w:r/>
            <w:r>
              <w:rPr>
                <w:b w:val="0"/>
                <w:sz w:val="17"/>
              </w:rPr>
            </w:r>
          </w:p>
        </w:tc>
      </w:tr>
      <w:tr>
        <w:tc>
          <w:tcPr>
            <w:tcW w:type="dxa" w:w="3744"/>
          </w:tcPr>
          <w:p>
            <w:r/>
            <w:r>
              <w:rPr>
                <w:b/>
                <w:sz w:val="17"/>
              </w:rPr>
              <w:t>F6 Go-Live &amp; Hypercare</w:t>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tcPr>
          <w:p>
            <w:r/>
            <w:r>
              <w:rPr>
                <w:b w:val="0"/>
                <w:sz w:val="17"/>
              </w:rPr>
            </w:r>
          </w:p>
        </w:tc>
        <w:tc>
          <w:tcPr>
            <w:tcW w:type="dxa" w:w="1440"/>
            <w:shd w:val="clear" w:color="auto" w:fill="006A4E"/>
          </w:tcPr>
          <w:p>
            <w:pPr>
              <w:jc w:val="center"/>
            </w:pPr>
            <w:r/>
            <w:r>
              <w:rPr>
                <w:b w:val="0"/>
                <w:color w:val="FFFFFF"/>
                <w:sz w:val="17"/>
              </w:rPr>
              <w:t>█</w:t>
            </w:r>
          </w:p>
        </w:tc>
      </w:tr>
    </w:tbl>
    <w:p/>
    <w:p>
      <w:pPr>
        <w:spacing w:after="120"/>
      </w:pPr>
      <w:r>
        <w:rPr>
          <w:b/>
          <w:i w:val="0"/>
          <w:color w:val="1F3964"/>
          <w:sz w:val="20"/>
        </w:rPr>
        <w:t>Milestone (♦): M1 Scope freeze — 31 Jul • M2 Staging stabil — 31 Agu • M3 SIT lulus — 30 Sep • M4 UAT sign-off — 31 Okt • M5 Keputusan GO — ±15 Des • M6 GO-LIVE — 1 Jan 2027.</w:t>
      </w:r>
    </w:p>
    <w:p>
      <w:r>
        <w:br w:type="page"/>
      </w:r>
    </w:p>
    <w:p>
      <w:pPr>
        <w:pStyle w:val="Heading1"/>
      </w:pPr>
      <w:r>
        <w:rPr>
          <w:color w:val="1F3964"/>
          <w:sz w:val="30"/>
        </w:rPr>
        <w:t>5. Organisasi Proyek &amp; Tanggung Jawab</w:t>
      </w:r>
    </w:p>
    <w:tbl>
      <w:tblPr>
        <w:tblStyle w:val="TableGrid"/>
        <w:tblW w:type="auto" w:w="0"/>
        <w:jc w:val="center"/>
        <w:tblLook w:firstColumn="1" w:firstRow="1" w:lastColumn="0" w:lastRow="0" w:noHBand="0" w:noVBand="1" w:val="04A0"/>
      </w:tblPr>
      <w:tblGrid>
        <w:gridCol w:w="4704"/>
        <w:gridCol w:w="4704"/>
        <w:gridCol w:w="4704"/>
      </w:tblGrid>
      <w:tr>
        <w:tc>
          <w:tcPr>
            <w:tcW w:type="dxa" w:w="3168"/>
            <w:shd w:val="clear" w:color="auto" w:fill="1F3964"/>
          </w:tcPr>
          <w:p>
            <w:r/>
            <w:r>
              <w:rPr>
                <w:b/>
                <w:color w:val="FFFFFF"/>
                <w:sz w:val="18"/>
              </w:rPr>
              <w:t>Peran</w:t>
            </w:r>
          </w:p>
        </w:tc>
        <w:tc>
          <w:tcPr>
            <w:tcW w:type="dxa" w:w="2592"/>
            <w:shd w:val="clear" w:color="auto" w:fill="1F3964"/>
          </w:tcPr>
          <w:p>
            <w:r/>
            <w:r>
              <w:rPr>
                <w:b/>
                <w:color w:val="FFFFFF"/>
                <w:sz w:val="18"/>
              </w:rPr>
              <w:t>Personil (diisi)</w:t>
            </w:r>
          </w:p>
        </w:tc>
        <w:tc>
          <w:tcPr>
            <w:tcW w:type="dxa" w:w="8352"/>
            <w:shd w:val="clear" w:color="auto" w:fill="1F3964"/>
          </w:tcPr>
          <w:p>
            <w:r/>
            <w:r>
              <w:rPr>
                <w:b/>
                <w:color w:val="FFFFFF"/>
                <w:sz w:val="18"/>
              </w:rPr>
              <w:t>Tanggung Jawab Utama</w:t>
            </w:r>
          </w:p>
        </w:tc>
      </w:tr>
      <w:tr>
        <w:tc>
          <w:tcPr>
            <w:tcW w:type="dxa" w:w="3168"/>
          </w:tcPr>
          <w:p>
            <w:r/>
            <w:r>
              <w:rPr>
                <w:b w:val="0"/>
                <w:sz w:val="18"/>
              </w:rPr>
              <w:t>Project Sponsor</w:t>
            </w:r>
          </w:p>
        </w:tc>
        <w:tc>
          <w:tcPr>
            <w:tcW w:type="dxa" w:w="2592"/>
          </w:tcPr>
          <w:p>
            <w:r/>
            <w:r>
              <w:rPr>
                <w:b w:val="0"/>
                <w:sz w:val="18"/>
              </w:rPr>
            </w:r>
          </w:p>
        </w:tc>
        <w:tc>
          <w:tcPr>
            <w:tcW w:type="dxa" w:w="8352"/>
          </w:tcPr>
          <w:p>
            <w:r/>
            <w:r>
              <w:rPr>
                <w:b w:val="0"/>
                <w:sz w:val="17"/>
              </w:rPr>
              <w:t>Keputusan go/no-go, penyelesaian eskalasi, penandatangan scope freeze.</w:t>
            </w:r>
          </w:p>
        </w:tc>
      </w:tr>
      <w:tr>
        <w:tc>
          <w:tcPr>
            <w:tcW w:type="dxa" w:w="3168"/>
          </w:tcPr>
          <w:p>
            <w:r/>
            <w:r>
              <w:rPr>
                <w:b w:val="0"/>
                <w:sz w:val="18"/>
              </w:rPr>
              <w:t>Project Manager (IT)</w:t>
            </w:r>
          </w:p>
        </w:tc>
        <w:tc>
          <w:tcPr>
            <w:tcW w:type="dxa" w:w="2592"/>
          </w:tcPr>
          <w:p>
            <w:r/>
            <w:r>
              <w:rPr>
                <w:b w:val="0"/>
                <w:sz w:val="18"/>
              </w:rPr>
            </w:r>
          </w:p>
        </w:tc>
        <w:tc>
          <w:tcPr>
            <w:tcW w:type="dxa" w:w="8352"/>
          </w:tcPr>
          <w:p>
            <w:r/>
            <w:r>
              <w:rPr>
                <w:b w:val="0"/>
                <w:sz w:val="17"/>
              </w:rPr>
              <w:t>Kendali jadwal/lingkup/risiko, laporan mingguan, koordinasi lintas tim.</w:t>
            </w:r>
          </w:p>
        </w:tc>
      </w:tr>
      <w:tr>
        <w:tc>
          <w:tcPr>
            <w:tcW w:type="dxa" w:w="3168"/>
          </w:tcPr>
          <w:p>
            <w:r/>
            <w:r>
              <w:rPr>
                <w:b w:val="0"/>
                <w:sz w:val="18"/>
              </w:rPr>
              <w:t>System Analyst / Functional</w:t>
            </w:r>
          </w:p>
        </w:tc>
        <w:tc>
          <w:tcPr>
            <w:tcW w:type="dxa" w:w="2592"/>
          </w:tcPr>
          <w:p>
            <w:r/>
            <w:r>
              <w:rPr>
                <w:b w:val="0"/>
                <w:sz w:val="18"/>
              </w:rPr>
            </w:r>
          </w:p>
        </w:tc>
        <w:tc>
          <w:tcPr>
            <w:tcW w:type="dxa" w:w="8352"/>
          </w:tcPr>
          <w:p>
            <w:r/>
            <w:r>
              <w:rPr>
                <w:b w:val="0"/>
                <w:sz w:val="17"/>
              </w:rPr>
              <w:t>Konfigurasi sistem, dokumentasi, pendampingan UAT &amp; pelatihan.</w:t>
            </w:r>
          </w:p>
        </w:tc>
      </w:tr>
      <w:tr>
        <w:tc>
          <w:tcPr>
            <w:tcW w:type="dxa" w:w="3168"/>
          </w:tcPr>
          <w:p>
            <w:r/>
            <w:r>
              <w:rPr>
                <w:b w:val="0"/>
                <w:sz w:val="18"/>
              </w:rPr>
              <w:t>Odoo Developer / Technical</w:t>
            </w:r>
          </w:p>
        </w:tc>
        <w:tc>
          <w:tcPr>
            <w:tcW w:type="dxa" w:w="2592"/>
          </w:tcPr>
          <w:p>
            <w:r/>
            <w:r>
              <w:rPr>
                <w:b w:val="0"/>
                <w:sz w:val="18"/>
              </w:rPr>
            </w:r>
          </w:p>
        </w:tc>
        <w:tc>
          <w:tcPr>
            <w:tcW w:type="dxa" w:w="8352"/>
          </w:tcPr>
          <w:p>
            <w:r/>
            <w:r>
              <w:rPr>
                <w:b w:val="0"/>
                <w:sz w:val="17"/>
              </w:rPr>
              <w:t>Instalasi, perbaikan temuan smoke test/SIT/UAT, skrip migrasi.</w:t>
            </w:r>
          </w:p>
        </w:tc>
      </w:tr>
      <w:tr>
        <w:tc>
          <w:tcPr>
            <w:tcW w:type="dxa" w:w="3168"/>
          </w:tcPr>
          <w:p>
            <w:r/>
            <w:r>
              <w:rPr>
                <w:b w:val="0"/>
                <w:sz w:val="18"/>
              </w:rPr>
              <w:t>Key User Operasional</w:t>
            </w:r>
          </w:p>
        </w:tc>
        <w:tc>
          <w:tcPr>
            <w:tcW w:type="dxa" w:w="2592"/>
          </w:tcPr>
          <w:p>
            <w:r/>
            <w:r>
              <w:rPr>
                <w:b w:val="0"/>
                <w:sz w:val="18"/>
              </w:rPr>
            </w:r>
          </w:p>
        </w:tc>
        <w:tc>
          <w:tcPr>
            <w:tcW w:type="dxa" w:w="8352"/>
          </w:tcPr>
          <w:p>
            <w:r/>
            <w:r>
              <w:rPr>
                <w:b w:val="0"/>
                <w:sz w:val="17"/>
              </w:rPr>
              <w:t>Jawaban SME, eksekusi UAT operasional, paralel run leasing/billing.</w:t>
            </w:r>
          </w:p>
        </w:tc>
      </w:tr>
      <w:tr>
        <w:tc>
          <w:tcPr>
            <w:tcW w:type="dxa" w:w="3168"/>
          </w:tcPr>
          <w:p>
            <w:r/>
            <w:r>
              <w:rPr>
                <w:b w:val="0"/>
                <w:sz w:val="18"/>
              </w:rPr>
              <w:t>Key User Accounting/Finance</w:t>
            </w:r>
          </w:p>
        </w:tc>
        <w:tc>
          <w:tcPr>
            <w:tcW w:type="dxa" w:w="2592"/>
          </w:tcPr>
          <w:p>
            <w:r/>
            <w:r>
              <w:rPr>
                <w:b w:val="0"/>
                <w:sz w:val="18"/>
              </w:rPr>
            </w:r>
          </w:p>
        </w:tc>
        <w:tc>
          <w:tcPr>
            <w:tcW w:type="dxa" w:w="8352"/>
          </w:tcPr>
          <w:p>
            <w:r/>
            <w:r>
              <w:rPr>
                <w:b w:val="0"/>
                <w:sz w:val="17"/>
              </w:rPr>
              <w:t>Mapping CoA→Report Category, saldo awal, rekonsiliasi paralel run, UAT keuangan.</w:t>
            </w:r>
          </w:p>
        </w:tc>
      </w:tr>
      <w:tr>
        <w:tc>
          <w:tcPr>
            <w:tcW w:type="dxa" w:w="3168"/>
          </w:tcPr>
          <w:p>
            <w:r/>
            <w:r>
              <w:rPr>
                <w:b w:val="0"/>
                <w:sz w:val="18"/>
              </w:rPr>
              <w:t>Tim Pajak</w:t>
            </w:r>
          </w:p>
        </w:tc>
        <w:tc>
          <w:tcPr>
            <w:tcW w:type="dxa" w:w="2592"/>
          </w:tcPr>
          <w:p>
            <w:r/>
            <w:r>
              <w:rPr>
                <w:b w:val="0"/>
                <w:sz w:val="18"/>
              </w:rPr>
            </w:r>
          </w:p>
        </w:tc>
        <w:tc>
          <w:tcPr>
            <w:tcW w:type="dxa" w:w="8352"/>
          </w:tcPr>
          <w:p>
            <w:r/>
            <w:r>
              <w:rPr>
                <w:b w:val="0"/>
                <w:sz w:val="17"/>
              </w:rPr>
              <w:t>Validasi CORETAX (kode transaksi, XSD, uji unggah), keputusan arah integrasi.</w:t>
            </w:r>
          </w:p>
        </w:tc>
      </w:tr>
      <w:tr>
        <w:tc>
          <w:tcPr>
            <w:tcW w:type="dxa" w:w="3168"/>
          </w:tcPr>
          <w:p>
            <w:r/>
            <w:r>
              <w:rPr>
                <w:b w:val="0"/>
                <w:sz w:val="18"/>
              </w:rPr>
              <w:t>Tim Data (MRI)</w:t>
            </w:r>
          </w:p>
        </w:tc>
        <w:tc>
          <w:tcPr>
            <w:tcW w:type="dxa" w:w="2592"/>
          </w:tcPr>
          <w:p>
            <w:r/>
            <w:r>
              <w:rPr>
                <w:b w:val="0"/>
                <w:sz w:val="18"/>
              </w:rPr>
            </w:r>
          </w:p>
        </w:tc>
        <w:tc>
          <w:tcPr>
            <w:tcW w:type="dxa" w:w="8352"/>
          </w:tcPr>
          <w:p>
            <w:r/>
            <w:r>
              <w:rPr>
                <w:b w:val="0"/>
                <w:sz w:val="17"/>
              </w:rPr>
              <w:t>Ekstraksi &amp; pembersihan data sumber, rekonsiliasi migrasi.</w:t>
            </w:r>
          </w:p>
        </w:tc>
      </w:tr>
      <w:tr>
        <w:tc>
          <w:tcPr>
            <w:tcW w:type="dxa" w:w="3168"/>
          </w:tcPr>
          <w:p>
            <w:r/>
            <w:r>
              <w:rPr>
                <w:b w:val="0"/>
                <w:sz w:val="18"/>
              </w:rPr>
              <w:t>IT Infrastruktur</w:t>
            </w:r>
          </w:p>
        </w:tc>
        <w:tc>
          <w:tcPr>
            <w:tcW w:type="dxa" w:w="2592"/>
          </w:tcPr>
          <w:p>
            <w:r/>
            <w:r>
              <w:rPr>
                <w:b w:val="0"/>
                <w:sz w:val="18"/>
              </w:rPr>
            </w:r>
          </w:p>
        </w:tc>
        <w:tc>
          <w:tcPr>
            <w:tcW w:type="dxa" w:w="8352"/>
          </w:tcPr>
          <w:p>
            <w:r/>
            <w:r>
              <w:rPr>
                <w:b w:val="0"/>
                <w:sz w:val="17"/>
              </w:rPr>
              <w:t>Server staging &amp; produksi, backup, SMTP, monitoring, keamanan.</w:t>
            </w:r>
          </w:p>
        </w:tc>
      </w:tr>
    </w:tbl>
    <w:p/>
    <w:p>
      <w:pPr>
        <w:pStyle w:val="Heading2"/>
      </w:pPr>
      <w:r>
        <w:rPr>
          <w:color w:val="006A4E"/>
          <w:sz w:val="25"/>
        </w:rPr>
        <w:t>5.1 Ritme Rapat</w:t>
      </w:r>
    </w:p>
    <w:p>
      <w:pPr>
        <w:pStyle w:val="ListBullet"/>
      </w:pPr>
      <w:r>
        <w:rPr>
          <w:b/>
        </w:rPr>
        <w:t xml:space="preserve">Weekly: </w:t>
      </w:r>
      <w:r>
        <w:t>Mingguan: status proyek (PM + perwakilan tiap tim, 30–45 menit).</w:t>
      </w:r>
    </w:p>
    <w:p>
      <w:pPr>
        <w:pStyle w:val="ListBullet"/>
      </w:pPr>
      <w:r>
        <w:rPr>
          <w:b/>
        </w:rPr>
        <w:t xml:space="preserve">Gate: </w:t>
      </w:r>
      <w:r>
        <w:t>Per akhir fase: gate review terhadap exit criteria fase (keputusan lanjut/ulang).</w:t>
      </w:r>
    </w:p>
    <w:p>
      <w:pPr>
        <w:pStyle w:val="ListBullet"/>
      </w:pPr>
      <w:r>
        <w:rPr>
          <w:b/>
        </w:rPr>
        <w:t xml:space="preserve">Go/No-Go: </w:t>
      </w:r>
      <w:r>
        <w:t>Desember: go/no-go meeting khusus dengan sponsor (±15 Des 2026).</w:t>
      </w:r>
    </w:p>
    <w:p>
      <w:r>
        <w:br w:type="page"/>
      </w:r>
    </w:p>
    <w:p>
      <w:pPr>
        <w:pStyle w:val="Heading1"/>
      </w:pPr>
      <w:r>
        <w:rPr>
          <w:color w:val="1F3964"/>
          <w:sz w:val="30"/>
        </w:rPr>
        <w:t>6. Strategi Migrasi Data &amp; Cut-over</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744"/>
            <w:shd w:val="clear" w:color="auto" w:fill="1F3964"/>
          </w:tcPr>
          <w:p>
            <w:r/>
            <w:r>
              <w:rPr>
                <w:b/>
                <w:color w:val="FFFFFF"/>
                <w:sz w:val="18"/>
              </w:rPr>
              <w:t>Item Migrasi</w:t>
            </w:r>
          </w:p>
        </w:tc>
        <w:tc>
          <w:tcPr>
            <w:tcW w:type="dxa" w:w="2016"/>
            <w:shd w:val="clear" w:color="auto" w:fill="1F3964"/>
          </w:tcPr>
          <w:p>
            <w:r/>
            <w:r>
              <w:rPr>
                <w:b/>
                <w:color w:val="FFFFFF"/>
                <w:sz w:val="18"/>
              </w:rPr>
              <w:t>Sumber</w:t>
            </w:r>
          </w:p>
        </w:tc>
        <w:tc>
          <w:tcPr>
            <w:tcW w:type="dxa" w:w="3744"/>
            <w:shd w:val="clear" w:color="auto" w:fill="1F3964"/>
          </w:tcPr>
          <w:p>
            <w:r/>
            <w:r>
              <w:rPr>
                <w:b/>
                <w:color w:val="FFFFFF"/>
                <w:sz w:val="18"/>
              </w:rPr>
              <w:t>Metode</w:t>
            </w:r>
          </w:p>
        </w:tc>
        <w:tc>
          <w:tcPr>
            <w:tcW w:type="dxa" w:w="4608"/>
            <w:shd w:val="clear" w:color="auto" w:fill="1F3964"/>
          </w:tcPr>
          <w:p>
            <w:r/>
            <w:r>
              <w:rPr>
                <w:b/>
                <w:color w:val="FFFFFF"/>
                <w:sz w:val="18"/>
              </w:rPr>
              <w:t>Validasi</w:t>
            </w:r>
          </w:p>
        </w:tc>
      </w:tr>
      <w:tr>
        <w:tc>
          <w:tcPr>
            <w:tcW w:type="dxa" w:w="3744"/>
          </w:tcPr>
          <w:p>
            <w:r/>
            <w:r>
              <w:rPr>
                <w:b w:val="0"/>
                <w:sz w:val="17"/>
              </w:rPr>
              <w:t>Master properti, unit, tenant, kontrak aktif</w:t>
            </w:r>
          </w:p>
        </w:tc>
        <w:tc>
          <w:tcPr>
            <w:tcW w:type="dxa" w:w="2016"/>
          </w:tcPr>
          <w:p>
            <w:r/>
            <w:r>
              <w:rPr>
                <w:b w:val="0"/>
                <w:sz w:val="17"/>
              </w:rPr>
              <w:t>MRI / Excel</w:t>
            </w:r>
          </w:p>
        </w:tc>
        <w:tc>
          <w:tcPr>
            <w:tcW w:type="dxa" w:w="3744"/>
          </w:tcPr>
          <w:p>
            <w:r/>
            <w:r>
              <w:rPr>
                <w:b w:val="0"/>
                <w:sz w:val="17"/>
              </w:rPr>
              <w:t>Template import Odoo (CSV/XLSX)</w:t>
            </w:r>
          </w:p>
        </w:tc>
        <w:tc>
          <w:tcPr>
            <w:tcW w:type="dxa" w:w="4608"/>
          </w:tcPr>
          <w:p>
            <w:r/>
            <w:r>
              <w:rPr>
                <w:b w:val="0"/>
                <w:sz w:val="17"/>
              </w:rPr>
              <w:t>Hitung jumlah record &amp; spot check per properti</w:t>
            </w:r>
          </w:p>
        </w:tc>
      </w:tr>
      <w:tr>
        <w:tc>
          <w:tcPr>
            <w:tcW w:type="dxa" w:w="3744"/>
          </w:tcPr>
          <w:p>
            <w:r/>
            <w:r>
              <w:rPr>
                <w:b w:val="0"/>
                <w:sz w:val="17"/>
              </w:rPr>
              <w:t>Saldo tenant berjalan (per kontrak)</w:t>
            </w:r>
          </w:p>
        </w:tc>
        <w:tc>
          <w:tcPr>
            <w:tcW w:type="dxa" w:w="2016"/>
          </w:tcPr>
          <w:p>
            <w:r/>
            <w:r>
              <w:rPr>
                <w:b w:val="0"/>
                <w:sz w:val="17"/>
              </w:rPr>
              <w:t>MRI</w:t>
            </w:r>
          </w:p>
        </w:tc>
        <w:tc>
          <w:tcPr>
            <w:tcW w:type="dxa" w:w="3744"/>
          </w:tcPr>
          <w:p>
            <w:r/>
            <w:r>
              <w:rPr>
                <w:b w:val="0"/>
                <w:sz w:val="17"/>
              </w:rPr>
              <w:t>Jurnal saldo awal per tenant</w:t>
            </w:r>
          </w:p>
        </w:tc>
        <w:tc>
          <w:tcPr>
            <w:tcW w:type="dxa" w:w="4608"/>
          </w:tcPr>
          <w:p>
            <w:r/>
            <w:r>
              <w:rPr>
                <w:b w:val="0"/>
                <w:sz w:val="17"/>
              </w:rPr>
              <w:t>Total = laporan arrears MRI per cut-off</w:t>
            </w:r>
          </w:p>
        </w:tc>
      </w:tr>
      <w:tr>
        <w:tc>
          <w:tcPr>
            <w:tcW w:type="dxa" w:w="3744"/>
          </w:tcPr>
          <w:p>
            <w:r/>
            <w:r>
              <w:rPr>
                <w:b w:val="0"/>
                <w:sz w:val="17"/>
              </w:rPr>
              <w:t>Security deposit (titipan)</w:t>
            </w:r>
          </w:p>
        </w:tc>
        <w:tc>
          <w:tcPr>
            <w:tcW w:type="dxa" w:w="2016"/>
          </w:tcPr>
          <w:p>
            <w:r/>
            <w:r>
              <w:rPr>
                <w:b w:val="0"/>
                <w:sz w:val="17"/>
              </w:rPr>
              <w:t>MRI</w:t>
            </w:r>
          </w:p>
        </w:tc>
        <w:tc>
          <w:tcPr>
            <w:tcW w:type="dxa" w:w="3744"/>
          </w:tcPr>
          <w:p>
            <w:r/>
            <w:r>
              <w:rPr>
                <w:b w:val="0"/>
                <w:sz w:val="17"/>
              </w:rPr>
              <w:t>Jurnal liabilitas deposit per tenant</w:t>
            </w:r>
          </w:p>
        </w:tc>
        <w:tc>
          <w:tcPr>
            <w:tcW w:type="dxa" w:w="4608"/>
          </w:tcPr>
          <w:p>
            <w:r/>
            <w:r>
              <w:rPr>
                <w:b w:val="0"/>
                <w:sz w:val="17"/>
              </w:rPr>
              <w:t>Total = daftar deposit MRI</w:t>
            </w:r>
          </w:p>
        </w:tc>
      </w:tr>
      <w:tr>
        <w:tc>
          <w:tcPr>
            <w:tcW w:type="dxa" w:w="3744"/>
          </w:tcPr>
          <w:p>
            <w:r/>
            <w:r>
              <w:rPr>
                <w:b w:val="0"/>
                <w:sz w:val="17"/>
              </w:rPr>
              <w:t>Budget 2026 sisa tahun + budget 2027</w:t>
            </w:r>
          </w:p>
        </w:tc>
        <w:tc>
          <w:tcPr>
            <w:tcW w:type="dxa" w:w="2016"/>
          </w:tcPr>
          <w:p>
            <w:r/>
            <w:r>
              <w:rPr>
                <w:b w:val="0"/>
                <w:sz w:val="17"/>
              </w:rPr>
              <w:t>Excel PM</w:t>
            </w:r>
          </w:p>
        </w:tc>
        <w:tc>
          <w:tcPr>
            <w:tcW w:type="dxa" w:w="3744"/>
          </w:tcPr>
          <w:p>
            <w:r/>
            <w:r>
              <w:rPr>
                <w:b w:val="0"/>
                <w:sz w:val="17"/>
              </w:rPr>
              <w:t>Import property.budget per akun/bulan</w:t>
            </w:r>
          </w:p>
        </w:tc>
        <w:tc>
          <w:tcPr>
            <w:tcW w:type="dxa" w:w="4608"/>
          </w:tcPr>
          <w:p>
            <w:r/>
            <w:r>
              <w:rPr>
                <w:b w:val="0"/>
                <w:sz w:val="17"/>
              </w:rPr>
              <w:t>Total per properti = lembar budget disetujui</w:t>
            </w:r>
          </w:p>
        </w:tc>
      </w:tr>
      <w:tr>
        <w:tc>
          <w:tcPr>
            <w:tcW w:type="dxa" w:w="3744"/>
          </w:tcPr>
          <w:p>
            <w:r/>
            <w:r>
              <w:rPr>
                <w:b w:val="0"/>
                <w:sz w:val="17"/>
              </w:rPr>
              <w:t>Fixed asset &amp; akumulasi penyusutan</w:t>
            </w:r>
          </w:p>
        </w:tc>
        <w:tc>
          <w:tcPr>
            <w:tcW w:type="dxa" w:w="2016"/>
          </w:tcPr>
          <w:p>
            <w:r/>
            <w:r>
              <w:rPr>
                <w:b w:val="0"/>
                <w:sz w:val="17"/>
              </w:rPr>
              <w:t>MRI / daftar aset</w:t>
            </w:r>
          </w:p>
        </w:tc>
        <w:tc>
          <w:tcPr>
            <w:tcW w:type="dxa" w:w="3744"/>
          </w:tcPr>
          <w:p>
            <w:r/>
            <w:r>
              <w:rPr>
                <w:b w:val="0"/>
                <w:sz w:val="17"/>
              </w:rPr>
              <w:t>Import register aset + saldo akumulasi</w:t>
            </w:r>
          </w:p>
        </w:tc>
        <w:tc>
          <w:tcPr>
            <w:tcW w:type="dxa" w:w="4608"/>
          </w:tcPr>
          <w:p>
            <w:r/>
            <w:r>
              <w:rPr>
                <w:b w:val="0"/>
                <w:sz w:val="17"/>
              </w:rPr>
              <w:t>NBV total = neraca per cut-off</w:t>
            </w:r>
          </w:p>
        </w:tc>
      </w:tr>
      <w:tr>
        <w:tc>
          <w:tcPr>
            <w:tcW w:type="dxa" w:w="3744"/>
          </w:tcPr>
          <w:p>
            <w:r/>
            <w:r>
              <w:rPr>
                <w:b w:val="0"/>
                <w:sz w:val="17"/>
              </w:rPr>
              <w:t>Saldo GL awal (trust, bank, piutang, dsb.)</w:t>
            </w:r>
          </w:p>
        </w:tc>
        <w:tc>
          <w:tcPr>
            <w:tcW w:type="dxa" w:w="2016"/>
          </w:tcPr>
          <w:p>
            <w:r/>
            <w:r>
              <w:rPr>
                <w:b w:val="0"/>
                <w:sz w:val="17"/>
              </w:rPr>
              <w:t>Neraca MRI</w:t>
            </w:r>
          </w:p>
        </w:tc>
        <w:tc>
          <w:tcPr>
            <w:tcW w:type="dxa" w:w="3744"/>
          </w:tcPr>
          <w:p>
            <w:r/>
            <w:r>
              <w:rPr>
                <w:b w:val="0"/>
                <w:sz w:val="17"/>
              </w:rPr>
              <w:t>Jurnal opening balance</w:t>
            </w:r>
          </w:p>
        </w:tc>
        <w:tc>
          <w:tcPr>
            <w:tcW w:type="dxa" w:w="4608"/>
          </w:tcPr>
          <w:p>
            <w:r/>
            <w:r>
              <w:rPr>
                <w:b w:val="0"/>
                <w:sz w:val="17"/>
              </w:rPr>
              <w:t>Trial balance seimbang &amp; = neraca MRI</w:t>
            </w:r>
          </w:p>
        </w:tc>
      </w:tr>
    </w:tbl>
    <w:p/>
    <w:p>
      <w:pPr>
        <w:pStyle w:val="Heading2"/>
      </w:pPr>
      <w:r>
        <w:rPr>
          <w:color w:val="006A4E"/>
          <w:sz w:val="25"/>
        </w:rPr>
        <w:t>6.1 Prinsip Cut-over</w:t>
      </w:r>
    </w:p>
    <w:p>
      <w:pPr>
        <w:pStyle w:val="ListBullet"/>
      </w:pPr>
      <w:r>
        <w:t>Cut-off data final 31 Oktober 2026; transaksi Nov–Des dicatat ganda (paralel run) di kedua sistem.</w:t>
      </w:r>
    </w:p>
    <w:p>
      <w:pPr>
        <w:pStyle w:val="ListBullet"/>
      </w:pPr>
      <w:r>
        <w:t>Selama paralel run, sistem lama (MRI) tetap menjadi sistem pencatatan resmi; Odoo menjadi pembanding.</w:t>
      </w:r>
    </w:p>
    <w:p>
      <w:pPr>
        <w:pStyle w:val="ListBullet"/>
      </w:pPr>
      <w:r>
        <w:t>Keputusan GO (±15 Des) mensyaratkan: dua siklus billing cocok, UAT sign-off, tidak ada defect kritikal terbuka, runbook cut-over teruji.</w:t>
      </w:r>
    </w:p>
    <w:p>
      <w:pPr>
        <w:pStyle w:val="ListBullet"/>
      </w:pPr>
      <w:r>
        <w:t>Per 1 Januari 2027 posisi dibalik: Odoo resmi, MRI baca-saja (dibekukan).</w:t>
      </w:r>
    </w:p>
    <w:p>
      <w:pPr>
        <w:pStyle w:val="ListBullet"/>
      </w:pPr>
      <w:r>
        <w:t>Rollback plan: bila kegagalan kritikal pada minggu pertama Januari, pencatatan kembali ke MRI dan Odoo diperlakukan sebagai paralel — keputusan pada PM + sponsor.</w:t>
      </w:r>
    </w:p>
    <w:p>
      <w:r>
        <w:br w:type="page"/>
      </w:r>
    </w:p>
    <w:p>
      <w:pPr>
        <w:pStyle w:val="Heading1"/>
      </w:pPr>
      <w:r>
        <w:rPr>
          <w:color w:val="1F3964"/>
          <w:sz w:val="30"/>
        </w:rPr>
        <w:t>7. Risiko &amp; Mitigasi</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4320"/>
            <w:shd w:val="clear" w:color="auto" w:fill="1F3964"/>
          </w:tcPr>
          <w:p>
            <w:r/>
            <w:r>
              <w:rPr>
                <w:b/>
                <w:color w:val="FFFFFF"/>
                <w:sz w:val="18"/>
              </w:rPr>
              <w:t>Risiko</w:t>
            </w:r>
          </w:p>
        </w:tc>
        <w:tc>
          <w:tcPr>
            <w:tcW w:type="dxa" w:w="1296"/>
            <w:shd w:val="clear" w:color="auto" w:fill="1F3964"/>
          </w:tcPr>
          <w:p>
            <w:r/>
            <w:r>
              <w:rPr>
                <w:b/>
                <w:color w:val="FFFFFF"/>
                <w:sz w:val="18"/>
              </w:rPr>
              <w:t>Dampak</w:t>
            </w:r>
          </w:p>
        </w:tc>
        <w:tc>
          <w:tcPr>
            <w:tcW w:type="dxa" w:w="1584"/>
            <w:shd w:val="clear" w:color="auto" w:fill="1F3964"/>
          </w:tcPr>
          <w:p>
            <w:r/>
            <w:r>
              <w:rPr>
                <w:b/>
                <w:color w:val="FFFFFF"/>
                <w:sz w:val="18"/>
              </w:rPr>
              <w:t>Kemungkinan</w:t>
            </w:r>
          </w:p>
        </w:tc>
        <w:tc>
          <w:tcPr>
            <w:tcW w:type="dxa" w:w="6912"/>
            <w:shd w:val="clear" w:color="auto" w:fill="1F3964"/>
          </w:tcPr>
          <w:p>
            <w:r/>
            <w:r>
              <w:rPr>
                <w:b/>
                <w:color w:val="FFFFFF"/>
                <w:sz w:val="18"/>
              </w:rPr>
              <w:t>Mitigasi</w:t>
            </w:r>
          </w:p>
        </w:tc>
      </w:tr>
      <w:tr>
        <w:tc>
          <w:tcPr>
            <w:tcW w:type="dxa" w:w="4320"/>
          </w:tcPr>
          <w:p>
            <w:r/>
            <w:r>
              <w:rPr>
                <w:b w:val="0"/>
                <w:sz w:val="17"/>
              </w:rPr>
              <w:t>Kode belum pernah jalan di Odoo live — temuan smoke test lebih banyak dari perkiraan</w:t>
            </w:r>
          </w:p>
        </w:tc>
        <w:tc>
          <w:tcPr>
            <w:tcW w:type="dxa" w:w="1296"/>
          </w:tcPr>
          <w:p>
            <w:r/>
            <w:r>
              <w:rPr>
                <w:b w:val="0"/>
                <w:sz w:val="17"/>
              </w:rPr>
              <w:t>Tinggi</w:t>
            </w:r>
          </w:p>
        </w:tc>
        <w:tc>
          <w:tcPr>
            <w:tcW w:type="dxa" w:w="1584"/>
          </w:tcPr>
          <w:p>
            <w:r/>
            <w:r>
              <w:rPr>
                <w:b w:val="0"/>
                <w:sz w:val="17"/>
              </w:rPr>
              <w:t>Sedang</w:t>
            </w:r>
          </w:p>
        </w:tc>
        <w:tc>
          <w:tcPr>
            <w:tcW w:type="dxa" w:w="6912"/>
          </w:tcPr>
          <w:p>
            <w:r/>
            <w:r>
              <w:rPr>
                <w:b w:val="0"/>
                <w:sz w:val="16"/>
              </w:rPr>
              <w:t>Seluruh Agustus didedikasikan untuk smoke test &amp; stabilisasi; buffer perbaikan di September; daftar titik sensitif versi sudah terdokumentasi.</w:t>
            </w:r>
          </w:p>
        </w:tc>
      </w:tr>
      <w:tr>
        <w:tc>
          <w:tcPr>
            <w:tcW w:type="dxa" w:w="4320"/>
          </w:tcPr>
          <w:p>
            <w:r/>
            <w:r>
              <w:rPr>
                <w:b w:val="0"/>
                <w:sz w:val="17"/>
              </w:rPr>
              <w:t>Keputusan arah integrasi CORETAX terlambat</w:t>
            </w:r>
          </w:p>
        </w:tc>
        <w:tc>
          <w:tcPr>
            <w:tcW w:type="dxa" w:w="1296"/>
          </w:tcPr>
          <w:p>
            <w:r/>
            <w:r>
              <w:rPr>
                <w:b w:val="0"/>
                <w:sz w:val="17"/>
              </w:rPr>
              <w:t>Tinggi</w:t>
            </w:r>
          </w:p>
        </w:tc>
        <w:tc>
          <w:tcPr>
            <w:tcW w:type="dxa" w:w="1584"/>
          </w:tcPr>
          <w:p>
            <w:r/>
            <w:r>
              <w:rPr>
                <w:b w:val="0"/>
                <w:sz w:val="17"/>
              </w:rPr>
              <w:t>Sedang</w:t>
            </w:r>
          </w:p>
        </w:tc>
        <w:tc>
          <w:tcPr>
            <w:tcW w:type="dxa" w:w="6912"/>
          </w:tcPr>
          <w:p>
            <w:r/>
            <w:r>
              <w:rPr>
                <w:b w:val="0"/>
                <w:sz w:val="16"/>
              </w:rPr>
              <w:t>Dijadwalkan final di F1 (Juli); bila mundur, modul lain tetap jalan — CORETAX di-uji terpisah sebelum paralel run.</w:t>
            </w:r>
          </w:p>
        </w:tc>
      </w:tr>
      <w:tr>
        <w:tc>
          <w:tcPr>
            <w:tcW w:type="dxa" w:w="4320"/>
          </w:tcPr>
          <w:p>
            <w:r/>
            <w:r>
              <w:rPr>
                <w:b w:val="0"/>
                <w:sz w:val="17"/>
              </w:rPr>
              <w:t>Kualitas data MRI buruk / mapping tidak lengkap</w:t>
            </w:r>
          </w:p>
        </w:tc>
        <w:tc>
          <w:tcPr>
            <w:tcW w:type="dxa" w:w="1296"/>
          </w:tcPr>
          <w:p>
            <w:r/>
            <w:r>
              <w:rPr>
                <w:b w:val="0"/>
                <w:sz w:val="17"/>
              </w:rPr>
              <w:t>Tinggi</w:t>
            </w:r>
          </w:p>
        </w:tc>
        <w:tc>
          <w:tcPr>
            <w:tcW w:type="dxa" w:w="1584"/>
          </w:tcPr>
          <w:p>
            <w:r/>
            <w:r>
              <w:rPr>
                <w:b w:val="0"/>
                <w:sz w:val="17"/>
              </w:rPr>
              <w:t>Sedang</w:t>
            </w:r>
          </w:p>
        </w:tc>
        <w:tc>
          <w:tcPr>
            <w:tcW w:type="dxa" w:w="6912"/>
          </w:tcPr>
          <w:p>
            <w:r/>
            <w:r>
              <w:rPr>
                <w:b w:val="0"/>
                <w:sz w:val="16"/>
              </w:rPr>
              <w:t>Trial migrasi sejak September (2 siklus sebelum final); tanggung jawab cleansing di tim data user dengan tenggat jelas.</w:t>
            </w:r>
          </w:p>
        </w:tc>
      </w:tr>
      <w:tr>
        <w:tc>
          <w:tcPr>
            <w:tcW w:type="dxa" w:w="4320"/>
          </w:tcPr>
          <w:p>
            <w:r/>
            <w:r>
              <w:rPr>
                <w:b w:val="0"/>
                <w:sz w:val="17"/>
              </w:rPr>
              <w:t>Ketersediaan key user terbatas saat UAT/paralel run</w:t>
            </w:r>
          </w:p>
        </w:tc>
        <w:tc>
          <w:tcPr>
            <w:tcW w:type="dxa" w:w="1296"/>
          </w:tcPr>
          <w:p>
            <w:r/>
            <w:r>
              <w:rPr>
                <w:b w:val="0"/>
                <w:sz w:val="17"/>
              </w:rPr>
              <w:t>Sedang</w:t>
            </w:r>
          </w:p>
        </w:tc>
        <w:tc>
          <w:tcPr>
            <w:tcW w:type="dxa" w:w="1584"/>
          </w:tcPr>
          <w:p>
            <w:r/>
            <w:r>
              <w:rPr>
                <w:b w:val="0"/>
                <w:sz w:val="17"/>
              </w:rPr>
              <w:t>Tinggi</w:t>
            </w:r>
          </w:p>
        </w:tc>
        <w:tc>
          <w:tcPr>
            <w:tcW w:type="dxa" w:w="6912"/>
          </w:tcPr>
          <w:p>
            <w:r/>
            <w:r>
              <w:rPr>
                <w:b w:val="0"/>
                <w:sz w:val="16"/>
              </w:rPr>
              <w:t>Jadwal UAT dikunci sejak kick-off; komitmen alokasi waktu ditandatangani sponsor; sesi pelatihan direkam.</w:t>
            </w:r>
          </w:p>
        </w:tc>
      </w:tr>
      <w:tr>
        <w:tc>
          <w:tcPr>
            <w:tcW w:type="dxa" w:w="4320"/>
          </w:tcPr>
          <w:p>
            <w:r/>
            <w:r>
              <w:rPr>
                <w:b w:val="0"/>
                <w:sz w:val="17"/>
              </w:rPr>
              <w:t>Mapping akun→Report Category dari Accounting terlambat (prasyarat Owners Statement)</w:t>
            </w:r>
          </w:p>
        </w:tc>
        <w:tc>
          <w:tcPr>
            <w:tcW w:type="dxa" w:w="1296"/>
          </w:tcPr>
          <w:p>
            <w:r/>
            <w:r>
              <w:rPr>
                <w:b w:val="0"/>
                <w:sz w:val="17"/>
              </w:rPr>
              <w:t>Tinggi</w:t>
            </w:r>
          </w:p>
        </w:tc>
        <w:tc>
          <w:tcPr>
            <w:tcW w:type="dxa" w:w="1584"/>
          </w:tcPr>
          <w:p>
            <w:r/>
            <w:r>
              <w:rPr>
                <w:b w:val="0"/>
                <w:sz w:val="17"/>
              </w:rPr>
              <w:t>Sedang</w:t>
            </w:r>
          </w:p>
        </w:tc>
        <w:tc>
          <w:tcPr>
            <w:tcW w:type="dxa" w:w="6912"/>
          </w:tcPr>
          <w:p>
            <w:r/>
            <w:r>
              <w:rPr>
                <w:b w:val="0"/>
                <w:sz w:val="16"/>
              </w:rPr>
              <w:t>Sudah diminta lewat kuesioner SME; tenggat akhir Juli; template mapping disiapkan tim proyek untuk tinggal diisi.</w:t>
            </w:r>
          </w:p>
        </w:tc>
      </w:tr>
      <w:tr>
        <w:tc>
          <w:tcPr>
            <w:tcW w:type="dxa" w:w="4320"/>
          </w:tcPr>
          <w:p>
            <w:r/>
            <w:r>
              <w:rPr>
                <w:b w:val="0"/>
                <w:sz w:val="17"/>
              </w:rPr>
              <w:t>Beban ganda saat paralel run (input 2 sistem)</w:t>
            </w:r>
          </w:p>
        </w:tc>
        <w:tc>
          <w:tcPr>
            <w:tcW w:type="dxa" w:w="1296"/>
          </w:tcPr>
          <w:p>
            <w:r/>
            <w:r>
              <w:rPr>
                <w:b w:val="0"/>
                <w:sz w:val="17"/>
              </w:rPr>
              <w:t>Sedang</w:t>
            </w:r>
          </w:p>
        </w:tc>
        <w:tc>
          <w:tcPr>
            <w:tcW w:type="dxa" w:w="1584"/>
          </w:tcPr>
          <w:p>
            <w:r/>
            <w:r>
              <w:rPr>
                <w:b w:val="0"/>
                <w:sz w:val="17"/>
              </w:rPr>
              <w:t>Tinggi</w:t>
            </w:r>
          </w:p>
        </w:tc>
        <w:tc>
          <w:tcPr>
            <w:tcW w:type="dxa" w:w="6912"/>
          </w:tcPr>
          <w:p>
            <w:r/>
            <w:r>
              <w:rPr>
                <w:b w:val="0"/>
                <w:sz w:val="16"/>
              </w:rPr>
              <w:t>Lingkup paralel dibatasi transaksi inti (billing, penerimaan, pengeluaran); dukungan input oleh tim proyek.</w:t>
            </w:r>
          </w:p>
        </w:tc>
      </w:tr>
      <w:tr>
        <w:tc>
          <w:tcPr>
            <w:tcW w:type="dxa" w:w="4320"/>
          </w:tcPr>
          <w:p>
            <w:r/>
            <w:r>
              <w:rPr>
                <w:b w:val="0"/>
                <w:sz w:val="17"/>
              </w:rPr>
              <w:t>Perubahan lingkup di tengah proyek</w:t>
            </w:r>
          </w:p>
        </w:tc>
        <w:tc>
          <w:tcPr>
            <w:tcW w:type="dxa" w:w="1296"/>
          </w:tcPr>
          <w:p>
            <w:r/>
            <w:r>
              <w:rPr>
                <w:b w:val="0"/>
                <w:sz w:val="17"/>
              </w:rPr>
              <w:t>Sedang</w:t>
            </w:r>
          </w:p>
        </w:tc>
        <w:tc>
          <w:tcPr>
            <w:tcW w:type="dxa" w:w="1584"/>
          </w:tcPr>
          <w:p>
            <w:r/>
            <w:r>
              <w:rPr>
                <w:b w:val="0"/>
                <w:sz w:val="17"/>
              </w:rPr>
              <w:t>Sedang</w:t>
            </w:r>
          </w:p>
        </w:tc>
        <w:tc>
          <w:tcPr>
            <w:tcW w:type="dxa" w:w="6912"/>
          </w:tcPr>
          <w:p>
            <w:r/>
            <w:r>
              <w:rPr>
                <w:b w:val="0"/>
                <w:sz w:val="16"/>
              </w:rPr>
              <w:t>Scope freeze akhir Juli; permintaan baru masuk change request untuk fase pasca go-live.</w:t>
            </w:r>
          </w:p>
        </w:tc>
      </w:tr>
    </w:tbl>
    <w:p/>
    <w:p>
      <w:pPr>
        <w:pStyle w:val="Heading1"/>
      </w:pPr>
      <w:r>
        <w:rPr>
          <w:color w:val="1F3964"/>
          <w:sz w:val="30"/>
        </w:rPr>
        <w:t>8. Kriteria Go-Live (Go/No-Go, ±15 Desember 2026)</w:t>
      </w:r>
    </w:p>
    <w:tbl>
      <w:tblPr>
        <w:tblStyle w:val="TableGrid"/>
        <w:tblW w:type="auto" w:w="0"/>
        <w:jc w:val="center"/>
        <w:tblLook w:firstColumn="1" w:firstRow="1" w:lastColumn="0" w:lastRow="0" w:noHBand="0" w:noVBand="1" w:val="04A0"/>
      </w:tblPr>
      <w:tblGrid>
        <w:gridCol w:w="4704"/>
        <w:gridCol w:w="4704"/>
        <w:gridCol w:w="4704"/>
      </w:tblGrid>
      <w:tr>
        <w:tc>
          <w:tcPr>
            <w:tcW w:type="dxa" w:w="720"/>
            <w:shd w:val="clear" w:color="auto" w:fill="1F3964"/>
          </w:tcPr>
          <w:p>
            <w:r/>
            <w:r>
              <w:rPr>
                <w:b/>
                <w:color w:val="FFFFFF"/>
                <w:sz w:val="18"/>
              </w:rPr>
              <w:t>#</w:t>
            </w:r>
          </w:p>
        </w:tc>
        <w:tc>
          <w:tcPr>
            <w:tcW w:type="dxa" w:w="4896"/>
            <w:shd w:val="clear" w:color="auto" w:fill="1F3964"/>
          </w:tcPr>
          <w:p>
            <w:r/>
            <w:r>
              <w:rPr>
                <w:b/>
                <w:color w:val="FFFFFF"/>
                <w:sz w:val="18"/>
              </w:rPr>
              <w:t>Kriteria</w:t>
            </w:r>
          </w:p>
        </w:tc>
        <w:tc>
          <w:tcPr>
            <w:tcW w:type="dxa" w:w="8496"/>
            <w:shd w:val="clear" w:color="auto" w:fill="1F3964"/>
          </w:tcPr>
          <w:p>
            <w:r/>
            <w:r>
              <w:rPr>
                <w:b/>
                <w:color w:val="FFFFFF"/>
                <w:sz w:val="18"/>
              </w:rPr>
              <w:t>Target</w:t>
            </w:r>
          </w:p>
        </w:tc>
      </w:tr>
      <w:tr>
        <w:tc>
          <w:tcPr>
            <w:tcW w:type="dxa" w:w="720"/>
          </w:tcPr>
          <w:p>
            <w:r/>
            <w:r>
              <w:rPr>
                <w:b w:val="0"/>
                <w:sz w:val="18"/>
              </w:rPr>
              <w:t>1</w:t>
            </w:r>
          </w:p>
        </w:tc>
        <w:tc>
          <w:tcPr>
            <w:tcW w:type="dxa" w:w="4896"/>
          </w:tcPr>
          <w:p>
            <w:r/>
            <w:r>
              <w:rPr>
                <w:b w:val="0"/>
                <w:sz w:val="18"/>
              </w:rPr>
              <w:t>Eksekusi UAT</w:t>
            </w:r>
          </w:p>
        </w:tc>
        <w:tc>
          <w:tcPr>
            <w:tcW w:type="dxa" w:w="8496"/>
          </w:tcPr>
          <w:p>
            <w:r/>
            <w:r>
              <w:rPr>
                <w:b w:val="0"/>
                <w:sz w:val="17"/>
              </w:rPr>
              <w:t>100% skenario dieksekusi, ≥95% pass, 0 defect kritikal terbuka</w:t>
            </w:r>
          </w:p>
        </w:tc>
      </w:tr>
      <w:tr>
        <w:tc>
          <w:tcPr>
            <w:tcW w:type="dxa" w:w="720"/>
          </w:tcPr>
          <w:p>
            <w:r/>
            <w:r>
              <w:rPr>
                <w:b w:val="0"/>
                <w:sz w:val="18"/>
              </w:rPr>
              <w:t>2</w:t>
            </w:r>
          </w:p>
        </w:tc>
        <w:tc>
          <w:tcPr>
            <w:tcW w:type="dxa" w:w="4896"/>
          </w:tcPr>
          <w:p>
            <w:r/>
            <w:r>
              <w:rPr>
                <w:b w:val="0"/>
                <w:sz w:val="18"/>
              </w:rPr>
              <w:t>Paralel run billing Nov &amp; Des</w:t>
            </w:r>
          </w:p>
        </w:tc>
        <w:tc>
          <w:tcPr>
            <w:tcW w:type="dxa" w:w="8496"/>
          </w:tcPr>
          <w:p>
            <w:r/>
            <w:r>
              <w:rPr>
                <w:b w:val="0"/>
                <w:sz w:val="17"/>
              </w:rPr>
              <w:t>Nilai tagihan, penerimaan &amp; arrears cocok dengan MRI (selisih 0 / terjelaskan &amp; disetujui Finance)</w:t>
            </w:r>
          </w:p>
        </w:tc>
      </w:tr>
      <w:tr>
        <w:tc>
          <w:tcPr>
            <w:tcW w:type="dxa" w:w="720"/>
          </w:tcPr>
          <w:p>
            <w:r/>
            <w:r>
              <w:rPr>
                <w:b w:val="0"/>
                <w:sz w:val="18"/>
              </w:rPr>
              <w:t>3</w:t>
            </w:r>
          </w:p>
        </w:tc>
        <w:tc>
          <w:tcPr>
            <w:tcW w:type="dxa" w:w="4896"/>
          </w:tcPr>
          <w:p>
            <w:r/>
            <w:r>
              <w:rPr>
                <w:b w:val="0"/>
                <w:sz w:val="18"/>
              </w:rPr>
              <w:t>Owners Statement paralel</w:t>
            </w:r>
          </w:p>
        </w:tc>
        <w:tc>
          <w:tcPr>
            <w:tcW w:type="dxa" w:w="8496"/>
          </w:tcPr>
          <w:p>
            <w:r/>
            <w:r>
              <w:rPr>
                <w:b w:val="0"/>
                <w:sz w:val="17"/>
              </w:rPr>
              <w:t>Statement Nov (dan pre-close Des) tervalidasi oleh Accounting &amp; disetujui</w:t>
            </w:r>
          </w:p>
        </w:tc>
      </w:tr>
      <w:tr>
        <w:tc>
          <w:tcPr>
            <w:tcW w:type="dxa" w:w="720"/>
          </w:tcPr>
          <w:p>
            <w:r/>
            <w:r>
              <w:rPr>
                <w:b w:val="0"/>
                <w:sz w:val="18"/>
              </w:rPr>
              <w:t>4</w:t>
            </w:r>
          </w:p>
        </w:tc>
        <w:tc>
          <w:tcPr>
            <w:tcW w:type="dxa" w:w="4896"/>
          </w:tcPr>
          <w:p>
            <w:r/>
            <w:r>
              <w:rPr>
                <w:b w:val="0"/>
                <w:sz w:val="18"/>
              </w:rPr>
              <w:t>Migrasi data</w:t>
            </w:r>
          </w:p>
        </w:tc>
        <w:tc>
          <w:tcPr>
            <w:tcW w:type="dxa" w:w="8496"/>
          </w:tcPr>
          <w:p>
            <w:r/>
            <w:r>
              <w:rPr>
                <w:b w:val="0"/>
                <w:sz w:val="17"/>
              </w:rPr>
              <w:t>Rekonsiliasi 100% pada master &amp; saldo awal; berita acara migrasi ditandatangani</w:t>
            </w:r>
          </w:p>
        </w:tc>
      </w:tr>
      <w:tr>
        <w:tc>
          <w:tcPr>
            <w:tcW w:type="dxa" w:w="720"/>
          </w:tcPr>
          <w:p>
            <w:r/>
            <w:r>
              <w:rPr>
                <w:b w:val="0"/>
                <w:sz w:val="18"/>
              </w:rPr>
              <w:t>5</w:t>
            </w:r>
          </w:p>
        </w:tc>
        <w:tc>
          <w:tcPr>
            <w:tcW w:type="dxa" w:w="4896"/>
          </w:tcPr>
          <w:p>
            <w:r/>
            <w:r>
              <w:rPr>
                <w:b w:val="0"/>
                <w:sz w:val="18"/>
              </w:rPr>
              <w:t>CORETAX</w:t>
            </w:r>
          </w:p>
        </w:tc>
        <w:tc>
          <w:tcPr>
            <w:tcW w:type="dxa" w:w="8496"/>
          </w:tcPr>
          <w:p>
            <w:r/>
            <w:r>
              <w:rPr>
                <w:b w:val="0"/>
                <w:sz w:val="17"/>
              </w:rPr>
              <w:t>XML lolos XSD DJP &amp; uji unggah berhasil (atau prosedur manual disetujui bila arah integrasi berubah)</w:t>
            </w:r>
          </w:p>
        </w:tc>
      </w:tr>
      <w:tr>
        <w:tc>
          <w:tcPr>
            <w:tcW w:type="dxa" w:w="720"/>
          </w:tcPr>
          <w:p>
            <w:r/>
            <w:r>
              <w:rPr>
                <w:b w:val="0"/>
                <w:sz w:val="18"/>
              </w:rPr>
              <w:t>6</w:t>
            </w:r>
          </w:p>
        </w:tc>
        <w:tc>
          <w:tcPr>
            <w:tcW w:type="dxa" w:w="4896"/>
          </w:tcPr>
          <w:p>
            <w:r/>
            <w:r>
              <w:rPr>
                <w:b w:val="0"/>
                <w:sz w:val="18"/>
              </w:rPr>
              <w:t>Kesiapan user</w:t>
            </w:r>
          </w:p>
        </w:tc>
        <w:tc>
          <w:tcPr>
            <w:tcW w:type="dxa" w:w="8496"/>
          </w:tcPr>
          <w:p>
            <w:r/>
            <w:r>
              <w:rPr>
                <w:b w:val="0"/>
                <w:sz w:val="17"/>
              </w:rPr>
              <w:t>Seluruh user inti terlatih; panduan &amp; runbook dibagikan</w:t>
            </w:r>
          </w:p>
        </w:tc>
      </w:tr>
      <w:tr>
        <w:tc>
          <w:tcPr>
            <w:tcW w:type="dxa" w:w="720"/>
          </w:tcPr>
          <w:p>
            <w:r/>
            <w:r>
              <w:rPr>
                <w:b w:val="0"/>
                <w:sz w:val="18"/>
              </w:rPr>
              <w:t>7</w:t>
            </w:r>
          </w:p>
        </w:tc>
        <w:tc>
          <w:tcPr>
            <w:tcW w:type="dxa" w:w="4896"/>
          </w:tcPr>
          <w:p>
            <w:r/>
            <w:r>
              <w:rPr>
                <w:b w:val="0"/>
                <w:sz w:val="18"/>
              </w:rPr>
              <w:t>Kesiapan infrastruktur</w:t>
            </w:r>
          </w:p>
        </w:tc>
        <w:tc>
          <w:tcPr>
            <w:tcW w:type="dxa" w:w="8496"/>
          </w:tcPr>
          <w:p>
            <w:r/>
            <w:r>
              <w:rPr>
                <w:b w:val="0"/>
                <w:sz w:val="17"/>
              </w:rPr>
              <w:t>Produksi terpasang, backup otomatis teruji restore, SMTP &amp; cron (22.00–05.00 WIB) berjalan</w:t>
            </w:r>
          </w:p>
        </w:tc>
      </w:tr>
      <w:tr>
        <w:tc>
          <w:tcPr>
            <w:tcW w:type="dxa" w:w="720"/>
          </w:tcPr>
          <w:p>
            <w:r/>
            <w:r>
              <w:rPr>
                <w:b w:val="0"/>
                <w:sz w:val="18"/>
              </w:rPr>
              <w:t>8</w:t>
            </w:r>
          </w:p>
        </w:tc>
        <w:tc>
          <w:tcPr>
            <w:tcW w:type="dxa" w:w="4896"/>
          </w:tcPr>
          <w:p>
            <w:r/>
            <w:r>
              <w:rPr>
                <w:b w:val="0"/>
                <w:sz w:val="18"/>
              </w:rPr>
              <w:t>Dukungan</w:t>
            </w:r>
          </w:p>
        </w:tc>
        <w:tc>
          <w:tcPr>
            <w:tcW w:type="dxa" w:w="8496"/>
          </w:tcPr>
          <w:p>
            <w:r/>
            <w:r>
              <w:rPr>
                <w:b w:val="0"/>
                <w:sz w:val="17"/>
              </w:rPr>
              <w:t>Jadwal hypercare 4 minggu &amp; jalur eskalasi disepakati</w:t>
            </w:r>
          </w:p>
        </w:tc>
      </w:tr>
    </w:tbl>
    <w:p/>
    <w:p>
      <w:pPr>
        <w:spacing w:after="120"/>
      </w:pPr>
      <w:r>
        <w:rPr>
          <w:b w:val="0"/>
          <w:i w:val="0"/>
          <w:sz w:val="21"/>
        </w:rPr>
        <w:t xml:space="preserve"> </w:t>
      </w:r>
    </w:p>
    <w:p>
      <w:pPr>
        <w:spacing w:after="120"/>
      </w:pPr>
      <w:r>
        <w:rPr>
          <w:b w:val="0"/>
          <w:i/>
          <w:color w:val="555555"/>
          <w:sz w:val="19"/>
        </w:rPr>
        <w:t>Catatan: Rencana ini disusun berdasarkan status kode per 10 Juli 2026 (selesai dikembangkan, lolos validasi statis, belum smoke test pada Odoo 19 live). Durasi F2 dapat memendek bila hasil smoke test baik — waktu sisa dialihkan menjadi buffer F3/F5. Dokumen ini hidup; versi terbaru selalu yang ada di repository.</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