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440CF" w14:textId="1CB83911" w:rsidR="00F82810" w:rsidRPr="00F82810" w:rsidRDefault="00CD40F5" w:rsidP="003F3C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Methotrexate (MTX) in monotherapy is commonly the first prescribed treatment to newly diagnosed rheumatoid arthritis (RA) patients</w:t>
      </w:r>
      <w:r w:rsidR="006A56A9">
        <w:rPr>
          <w:rFonts w:ascii="Times New Roman" w:hAnsi="Times New Roman" w:cs="Times New Roman"/>
          <w:sz w:val="24"/>
          <w:szCs w:val="24"/>
          <w:lang w:val="en-US"/>
        </w:rPr>
        <w:t>, though a significant portion of patients do not exhibit a good response to treatment. Previous studies have shown that RA diagnosis aggregates within families but whether disease characteristics, e.g. treatment outcome, also has a familial component is unclear.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6D0C">
        <w:rPr>
          <w:rFonts w:ascii="Times New Roman" w:hAnsi="Times New Roman" w:cs="Times New Roman"/>
          <w:sz w:val="24"/>
          <w:szCs w:val="24"/>
          <w:lang w:val="en-US"/>
        </w:rPr>
        <w:t xml:space="preserve">Here, we present results from the first investigation of familial aggregation and heritability of persistence to treatment with MTX in monotherapy </w:t>
      </w:r>
      <w:r w:rsidR="00ED3423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B66D0C">
        <w:rPr>
          <w:rFonts w:ascii="Times New Roman" w:hAnsi="Times New Roman" w:cs="Times New Roman"/>
          <w:sz w:val="24"/>
          <w:szCs w:val="24"/>
          <w:lang w:val="en-US"/>
        </w:rPr>
        <w:t>in a cohort of Swedish early RA patients. Our study finds that persistence to treatment at three years</w:t>
      </w:r>
      <w:r w:rsidR="006A56A9">
        <w:rPr>
          <w:rFonts w:ascii="Times New Roman" w:hAnsi="Times New Roman" w:cs="Times New Roman"/>
          <w:sz w:val="24"/>
          <w:szCs w:val="24"/>
          <w:lang w:val="en-US"/>
        </w:rPr>
        <w:t>, but not at one year,</w:t>
      </w:r>
      <w:r w:rsidR="00B66D0C">
        <w:rPr>
          <w:rFonts w:ascii="Times New Roman" w:hAnsi="Times New Roman" w:cs="Times New Roman"/>
          <w:sz w:val="24"/>
          <w:szCs w:val="24"/>
          <w:lang w:val="en-US"/>
        </w:rPr>
        <w:t xml:space="preserve"> aggregates within families with </w:t>
      </w:r>
      <w:r w:rsidR="003F3CC3">
        <w:rPr>
          <w:rFonts w:ascii="Times New Roman" w:hAnsi="Times New Roman" w:cs="Times New Roman"/>
          <w:sz w:val="24"/>
          <w:szCs w:val="24"/>
          <w:lang w:val="en-US"/>
        </w:rPr>
        <w:t>a minor and modest heritability for persistence at one and three year respectively.</w:t>
      </w:r>
      <w:r w:rsidR="00B66D0C">
        <w:rPr>
          <w:rFonts w:ascii="Times New Roman" w:hAnsi="Times New Roman" w:cs="Times New Roman"/>
          <w:sz w:val="24"/>
          <w:szCs w:val="24"/>
          <w:lang w:val="en-US"/>
        </w:rPr>
        <w:t xml:space="preserve"> We conclude that persistence to MTX in monotherapy does aggregate within families of early RA patients and that the magnitude of this component increases with time.</w:t>
      </w:r>
      <w:bookmarkStart w:id="0" w:name="_GoBack"/>
      <w:bookmarkEnd w:id="0"/>
    </w:p>
    <w:sectPr w:rsidR="00F82810" w:rsidRPr="00F8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48"/>
    <w:rsid w:val="00045B25"/>
    <w:rsid w:val="003F3CC3"/>
    <w:rsid w:val="004139B2"/>
    <w:rsid w:val="00416D79"/>
    <w:rsid w:val="00674A48"/>
    <w:rsid w:val="006A56A9"/>
    <w:rsid w:val="00960D41"/>
    <w:rsid w:val="009A761F"/>
    <w:rsid w:val="009C4F1A"/>
    <w:rsid w:val="00B66D0C"/>
    <w:rsid w:val="00CD40F5"/>
    <w:rsid w:val="00CD5F5F"/>
    <w:rsid w:val="00ED3423"/>
    <w:rsid w:val="00F8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5A0FFB"/>
  <w15:chartTrackingRefBased/>
  <w15:docId w15:val="{36027527-4C1A-4625-9831-79E43550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Karolinska Institutet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Öberg Sysojev</dc:creator>
  <cp:keywords/>
  <dc:description/>
  <cp:lastModifiedBy>Anton Öberg Sysojev</cp:lastModifiedBy>
  <cp:revision>11</cp:revision>
  <dcterms:created xsi:type="dcterms:W3CDTF">2021-06-01T15:15:00Z</dcterms:created>
  <dcterms:modified xsi:type="dcterms:W3CDTF">2021-06-02T09:54:00Z</dcterms:modified>
</cp:coreProperties>
</file>