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B5B2" w14:textId="5EAB9FAC" w:rsidR="009E7E3D" w:rsidRPr="00F315EB" w:rsidRDefault="009E7E3D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b/>
          <w:sz w:val="20"/>
          <w:szCs w:val="20"/>
          <w:lang w:val="en-US"/>
        </w:rPr>
        <w:t xml:space="preserve">Edit (23/4): 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The whole derivation described here is actually more extensive than necessary and relying on the Delta method is overkill. In fact, since the relationship coefficient </w:t>
      </w:r>
      <w:r w:rsidRPr="00F315EB">
        <w:rPr>
          <w:rFonts w:ascii="Times New Roman" w:hAnsi="Times New Roman"/>
          <w:i/>
          <w:sz w:val="20"/>
          <w:szCs w:val="20"/>
          <w:lang w:val="en-US"/>
        </w:rPr>
        <w:t xml:space="preserve">r </w:t>
      </w:r>
      <w:r w:rsidRPr="00F315EB">
        <w:rPr>
          <w:rFonts w:ascii="Times New Roman" w:hAnsi="Times New Roman"/>
          <w:sz w:val="20"/>
          <w:szCs w:val="20"/>
          <w:lang w:val="en-US"/>
        </w:rPr>
        <w:t>is simply a constant, we can use standard properties of the variance to get that</w:t>
      </w:r>
    </w:p>
    <w:p w14:paraId="02996DBF" w14:textId="70E2DCB4" w:rsidR="009E7E3D" w:rsidRPr="00F315EB" w:rsidRDefault="009E7E3D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pcorr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84F7F62" w14:textId="28DC1664" w:rsidR="009E7E3D" w:rsidRPr="00F315EB" w:rsidRDefault="009E7E3D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>using the notation described below.</w:t>
      </w:r>
    </w:p>
    <w:p w14:paraId="683C2BEB" w14:textId="4A39D93B" w:rsidR="009E7E3D" w:rsidRPr="00F315EB" w:rsidRDefault="009E7E3D">
      <w:pPr>
        <w:rPr>
          <w:rFonts w:ascii="Times New Roman" w:hAnsi="Times New Roman"/>
          <w:b/>
          <w:sz w:val="20"/>
          <w:szCs w:val="20"/>
          <w:lang w:val="en-US"/>
        </w:rPr>
      </w:pPr>
      <w:r w:rsidRPr="00F315EB">
        <w:rPr>
          <w:rFonts w:ascii="Times New Roman" w:hAnsi="Times New Roman"/>
          <w:b/>
          <w:sz w:val="20"/>
          <w:szCs w:val="20"/>
          <w:lang w:val="en-US"/>
        </w:rPr>
        <w:t>A brief note on confidence int</w:t>
      </w:r>
      <w:bookmarkStart w:id="0" w:name="_GoBack"/>
      <w:bookmarkEnd w:id="0"/>
      <w:r w:rsidRPr="00F315EB">
        <w:rPr>
          <w:rFonts w:ascii="Times New Roman" w:hAnsi="Times New Roman"/>
          <w:b/>
          <w:sz w:val="20"/>
          <w:szCs w:val="20"/>
          <w:lang w:val="en-US"/>
        </w:rPr>
        <w:t>ervals used in `</w:t>
      </w:r>
      <w:proofErr w:type="spellStart"/>
      <w:r w:rsidRPr="00F315EB">
        <w:rPr>
          <w:rFonts w:ascii="Times New Roman" w:hAnsi="Times New Roman"/>
          <w:b/>
          <w:sz w:val="20"/>
          <w:szCs w:val="20"/>
          <w:lang w:val="en-US"/>
        </w:rPr>
        <w:t>Heritability.R</w:t>
      </w:r>
      <w:proofErr w:type="spellEnd"/>
      <w:r w:rsidRPr="00F315EB">
        <w:rPr>
          <w:rFonts w:ascii="Times New Roman" w:hAnsi="Times New Roman"/>
          <w:b/>
          <w:sz w:val="20"/>
          <w:szCs w:val="20"/>
          <w:lang w:val="en-US"/>
        </w:rPr>
        <w:t>`</w:t>
      </w:r>
    </w:p>
    <w:p w14:paraId="4D3DF751" w14:textId="36367099" w:rsidR="00B714ED" w:rsidRPr="00F315EB" w:rsidRDefault="00B714ED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>In the `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Heritability.R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` script, I use family-based data consisting of first-degree relative pairings to estimate the heritability of a given trait of interest. This is done by using 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 correlation (also known as tetrachoric correlation in the case when the trait of interest is modeled by binary/dichotomous variables</w:t>
      </w:r>
      <w:r w:rsidR="00A43842" w:rsidRPr="00F315EB">
        <w:rPr>
          <w:rFonts w:ascii="Times New Roman" w:hAnsi="Times New Roman"/>
          <w:sz w:val="20"/>
          <w:szCs w:val="20"/>
          <w:lang w:val="en-US"/>
        </w:rPr>
        <w:t>, as is the case for my data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) from which the estimated 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 correlation </w:t>
      </w:r>
      <w:proofErr w:type="spellStart"/>
      <w:r w:rsidRPr="00F315EB">
        <w:rPr>
          <w:rFonts w:ascii="Times New Roman" w:hAnsi="Times New Roman"/>
          <w:i/>
          <w:sz w:val="20"/>
          <w:szCs w:val="20"/>
          <w:lang w:val="en-US"/>
        </w:rPr>
        <w:t>ρ</w:t>
      </w:r>
      <w:r w:rsidRPr="00F315EB">
        <w:rPr>
          <w:rFonts w:ascii="Times New Roman" w:hAnsi="Times New Roman"/>
          <w:i/>
          <w:sz w:val="20"/>
          <w:szCs w:val="20"/>
          <w:vertAlign w:val="subscript"/>
          <w:lang w:val="en-US"/>
        </w:rPr>
        <w:t>pcorr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, can be used to estimate the trait heritability by </w:t>
      </w:r>
      <w:r w:rsidR="00432367" w:rsidRPr="00F315EB">
        <w:rPr>
          <w:rFonts w:ascii="Times New Roman" w:hAnsi="Times New Roman"/>
          <w:sz w:val="20"/>
          <w:szCs w:val="20"/>
          <w:lang w:val="en-US"/>
        </w:rPr>
        <w:t>division of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315EB">
        <w:rPr>
          <w:rFonts w:ascii="Times New Roman" w:hAnsi="Times New Roman"/>
          <w:i/>
          <w:sz w:val="20"/>
          <w:szCs w:val="20"/>
          <w:lang w:val="en-US"/>
        </w:rPr>
        <w:t>ρ</w:t>
      </w:r>
      <w:r w:rsidRPr="00F315EB">
        <w:rPr>
          <w:rFonts w:ascii="Times New Roman" w:hAnsi="Times New Roman"/>
          <w:i/>
          <w:sz w:val="20"/>
          <w:szCs w:val="20"/>
          <w:vertAlign w:val="subscript"/>
          <w:lang w:val="en-US"/>
        </w:rPr>
        <w:t>pcorr</w:t>
      </w:r>
      <w:proofErr w:type="spellEnd"/>
      <w:r w:rsidRPr="00F315EB">
        <w:rPr>
          <w:rFonts w:ascii="Times New Roman" w:hAnsi="Times New Roman"/>
          <w:sz w:val="20"/>
          <w:szCs w:val="20"/>
          <w:vertAlign w:val="subscript"/>
          <w:lang w:val="en-US"/>
        </w:rPr>
        <w:t xml:space="preserve"> 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by the relationship coefficient </w:t>
      </w:r>
      <w:r w:rsidRPr="00F315EB">
        <w:rPr>
          <w:rFonts w:ascii="Times New Roman" w:hAnsi="Times New Roman"/>
          <w:i/>
          <w:sz w:val="20"/>
          <w:szCs w:val="20"/>
          <w:lang w:val="en-US"/>
        </w:rPr>
        <w:t>r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Tenesa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 and Haley, 2013). Thus, heritability </w:t>
      </w:r>
      <w:r w:rsidR="00952039" w:rsidRPr="00F315EB">
        <w:rPr>
          <w:rFonts w:ascii="Times New Roman" w:hAnsi="Times New Roman"/>
          <w:i/>
          <w:sz w:val="20"/>
          <w:szCs w:val="20"/>
          <w:lang w:val="en-US"/>
        </w:rPr>
        <w:t>h</w:t>
      </w:r>
      <w:r w:rsidR="00952039" w:rsidRPr="00F315EB">
        <w:rPr>
          <w:rFonts w:ascii="Times New Roman" w:hAnsi="Times New Roman"/>
          <w:i/>
          <w:sz w:val="20"/>
          <w:szCs w:val="20"/>
          <w:vertAlign w:val="superscript"/>
          <w:lang w:val="en-US"/>
        </w:rPr>
        <w:t>2</w:t>
      </w:r>
      <w:r w:rsidR="00952039" w:rsidRPr="00F315EB">
        <w:rPr>
          <w:rFonts w:ascii="Times New Roman" w:hAnsi="Times New Roman"/>
          <w:i/>
          <w:sz w:val="20"/>
          <w:szCs w:val="20"/>
          <w:vertAlign w:val="subscript"/>
          <w:lang w:val="en-US"/>
        </w:rPr>
        <w:t xml:space="preserve"> </w:t>
      </w:r>
      <w:r w:rsidR="00952039" w:rsidRPr="00F315EB">
        <w:rPr>
          <w:rFonts w:ascii="Times New Roman" w:hAnsi="Times New Roman"/>
          <w:sz w:val="20"/>
          <w:szCs w:val="20"/>
          <w:lang w:val="en-US"/>
        </w:rPr>
        <w:t>can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 be estimated as</w:t>
      </w:r>
      <w:r w:rsidR="00137C10" w:rsidRPr="00F315EB">
        <w:rPr>
          <w:rFonts w:ascii="Times New Roman" w:hAnsi="Times New Roman"/>
          <w:sz w:val="20"/>
          <w:szCs w:val="20"/>
          <w:lang w:val="en-US"/>
        </w:rPr>
        <w:t>:</w:t>
      </w:r>
    </w:p>
    <w:p w14:paraId="540FD953" w14:textId="73846EE9" w:rsidR="00B714ED" w:rsidRPr="00F315EB" w:rsidRDefault="00F315EB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2D24892A" w14:textId="3D4D64A8" w:rsidR="00B714ED" w:rsidRPr="00F315EB" w:rsidRDefault="00731054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 xml:space="preserve">Since </w:t>
      </w:r>
      <w:r w:rsidR="00F61569" w:rsidRPr="00F315EB">
        <w:rPr>
          <w:rFonts w:ascii="Times New Roman" w:hAnsi="Times New Roman"/>
          <w:sz w:val="20"/>
          <w:szCs w:val="20"/>
          <w:lang w:val="en-US"/>
        </w:rPr>
        <w:t xml:space="preserve">we use first-degree relative pairings within our cohort, the relationship coefficient </w:t>
      </w:r>
      <w:r w:rsidR="00F61569" w:rsidRPr="00F315EB">
        <w:rPr>
          <w:rFonts w:ascii="Times New Roman" w:hAnsi="Times New Roman"/>
          <w:i/>
          <w:sz w:val="20"/>
          <w:szCs w:val="20"/>
          <w:lang w:val="en-US"/>
        </w:rPr>
        <w:t xml:space="preserve">r </w:t>
      </w:r>
      <w:r w:rsidR="00F61569" w:rsidRPr="00F315EB">
        <w:rPr>
          <w:rFonts w:ascii="Times New Roman" w:hAnsi="Times New Roman"/>
          <w:sz w:val="20"/>
          <w:szCs w:val="20"/>
          <w:lang w:val="en-US"/>
        </w:rPr>
        <w:t>is simply 0.5.</w:t>
      </w:r>
      <w:r w:rsidR="00952039" w:rsidRPr="00F315EB">
        <w:rPr>
          <w:rFonts w:ascii="Times New Roman" w:hAnsi="Times New Roman"/>
          <w:sz w:val="20"/>
          <w:szCs w:val="20"/>
          <w:lang w:val="en-US"/>
        </w:rPr>
        <w:t xml:space="preserve"> Thus, estimating the heritability is simply </w:t>
      </w:r>
      <w:r w:rsidR="00BD124B" w:rsidRPr="00F315EB">
        <w:rPr>
          <w:rFonts w:ascii="Times New Roman" w:hAnsi="Times New Roman"/>
          <w:sz w:val="20"/>
          <w:szCs w:val="20"/>
          <w:lang w:val="en-US"/>
        </w:rPr>
        <w:t xml:space="preserve">a problem of estimating the </w:t>
      </w:r>
      <w:proofErr w:type="spellStart"/>
      <w:r w:rsidR="00BD124B"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="00BD124B" w:rsidRPr="00F315EB">
        <w:rPr>
          <w:rFonts w:ascii="Times New Roman" w:hAnsi="Times New Roman"/>
          <w:sz w:val="20"/>
          <w:szCs w:val="20"/>
          <w:lang w:val="en-US"/>
        </w:rPr>
        <w:t xml:space="preserve"> correlation, something which is simply done using the `</w:t>
      </w:r>
      <w:proofErr w:type="spellStart"/>
      <w:r w:rsidR="00BD124B" w:rsidRPr="00F315EB">
        <w:rPr>
          <w:rFonts w:ascii="Times New Roman" w:hAnsi="Times New Roman"/>
          <w:sz w:val="20"/>
          <w:szCs w:val="20"/>
          <w:lang w:val="en-US"/>
        </w:rPr>
        <w:t>polychor</w:t>
      </w:r>
      <w:proofErr w:type="spellEnd"/>
      <w:r w:rsidR="00BD124B" w:rsidRPr="00F315EB">
        <w:rPr>
          <w:rFonts w:ascii="Times New Roman" w:hAnsi="Times New Roman"/>
          <w:sz w:val="20"/>
          <w:szCs w:val="20"/>
          <w:lang w:val="en-US"/>
        </w:rPr>
        <w:t>()` function from the `</w:t>
      </w:r>
      <w:proofErr w:type="spellStart"/>
      <w:r w:rsidR="00BD124B" w:rsidRPr="00F315EB">
        <w:rPr>
          <w:rFonts w:ascii="Times New Roman" w:hAnsi="Times New Roman"/>
          <w:sz w:val="20"/>
          <w:szCs w:val="20"/>
          <w:lang w:val="en-US"/>
        </w:rPr>
        <w:t>polycor</w:t>
      </w:r>
      <w:proofErr w:type="spellEnd"/>
      <w:r w:rsidR="00BD124B" w:rsidRPr="00F315EB">
        <w:rPr>
          <w:rFonts w:ascii="Times New Roman" w:hAnsi="Times New Roman"/>
          <w:sz w:val="20"/>
          <w:szCs w:val="20"/>
          <w:lang w:val="en-US"/>
        </w:rPr>
        <w:t xml:space="preserve">` package in R. </w:t>
      </w:r>
    </w:p>
    <w:p w14:paraId="3D23EAF9" w14:textId="5D2E32EA" w:rsidR="00887EF6" w:rsidRPr="00F315EB" w:rsidRDefault="00887EF6">
      <w:pPr>
        <w:rPr>
          <w:rFonts w:ascii="Times New Roman" w:eastAsiaTheme="minorEastAsia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 xml:space="preserve">However, we are not only interested in the point estimate of heritability but would also desire the 95% confidence interval. </w:t>
      </w:r>
      <w:r w:rsidR="00185EF5" w:rsidRPr="00F315EB">
        <w:rPr>
          <w:rFonts w:ascii="Times New Roman" w:hAnsi="Times New Roman"/>
          <w:sz w:val="20"/>
          <w:szCs w:val="20"/>
          <w:lang w:val="en-US"/>
        </w:rPr>
        <w:t>The `</w:t>
      </w:r>
      <w:proofErr w:type="spellStart"/>
      <w:r w:rsidR="00185EF5" w:rsidRPr="00F315EB">
        <w:rPr>
          <w:rFonts w:ascii="Times New Roman" w:hAnsi="Times New Roman"/>
          <w:sz w:val="20"/>
          <w:szCs w:val="20"/>
          <w:lang w:val="en-US"/>
        </w:rPr>
        <w:t>polychor</w:t>
      </w:r>
      <w:proofErr w:type="spellEnd"/>
      <w:r w:rsidR="00185EF5" w:rsidRPr="00F315EB">
        <w:rPr>
          <w:rFonts w:ascii="Times New Roman" w:hAnsi="Times New Roman"/>
          <w:sz w:val="20"/>
          <w:szCs w:val="20"/>
          <w:lang w:val="en-US"/>
        </w:rPr>
        <w:t xml:space="preserve">()` function mentioned above allows us to obtain the standard error of the </w:t>
      </w:r>
      <w:proofErr w:type="spellStart"/>
      <w:r w:rsidR="00185EF5"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="00185EF5" w:rsidRPr="00F315EB">
        <w:rPr>
          <w:rFonts w:ascii="Times New Roman" w:hAnsi="Times New Roman"/>
          <w:sz w:val="20"/>
          <w:szCs w:val="20"/>
          <w:lang w:val="en-US"/>
        </w:rPr>
        <w:t xml:space="preserve"> correlation, here denoted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ρ</m:t>
            </m:r>
          </m:sub>
        </m:sSub>
      </m:oMath>
      <w:r w:rsidR="00185EF5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. Now under the key assumption that the estimated </w:t>
      </w:r>
      <w:proofErr w:type="spellStart"/>
      <w:r w:rsidR="00185EF5" w:rsidRPr="00F315EB">
        <w:rPr>
          <w:rFonts w:ascii="Times New Roman" w:eastAsiaTheme="minorEastAsia" w:hAnsi="Times New Roman"/>
          <w:sz w:val="20"/>
          <w:szCs w:val="20"/>
          <w:lang w:val="en-US"/>
        </w:rPr>
        <w:t>polychoric</w:t>
      </w:r>
      <w:proofErr w:type="spellEnd"/>
      <w:r w:rsidR="00185EF5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 correlation follows a normal distribution, we compute the standard Wald confidence interval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pcorr</m:t>
            </m:r>
          </m:sub>
        </m:sSub>
      </m:oMath>
      <w:r w:rsidR="00185EF5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 as</w:t>
      </w:r>
    </w:p>
    <w:p w14:paraId="16BDD246" w14:textId="6A5230DB" w:rsidR="00185EF5" w:rsidRPr="00F315EB" w:rsidRDefault="00F315EB">
      <w:pPr>
        <w:rPr>
          <w:rFonts w:ascii="Times New Roman" w:eastAsiaTheme="minorEastAsia" w:hAnsi="Times New Roman"/>
          <w:sz w:val="20"/>
          <w:szCs w:val="20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pcorr</m:t>
              </m:r>
            </m:sub>
          </m:sSub>
          <m:r>
            <w:rPr>
              <w:rFonts w:ascii="Cambria Math" w:hAnsi="Cambria Math"/>
              <w:sz w:val="20"/>
              <w:szCs w:val="20"/>
              <w:vertAlign w:val="subscript"/>
              <w:lang w:val="en-US"/>
            </w:rPr>
            <m:t xml:space="preserve"> ∈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ρ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vertAlign w:val="subscript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ρ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vertAlign w:val="subscript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vertAlign w:val="subscript"/>
              <w:lang w:val="en-US"/>
            </w:rPr>
            <m:t>,</m:t>
          </m:r>
        </m:oMath>
      </m:oMathPara>
    </w:p>
    <w:p w14:paraId="6E2941C2" w14:textId="3B97F4EC" w:rsidR="00185EF5" w:rsidRPr="00F315EB" w:rsidRDefault="00185EF5">
      <w:pPr>
        <w:rPr>
          <w:rFonts w:ascii="Times New Roman" w:eastAsiaTheme="minorEastAsia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1-α/2</m:t>
            </m:r>
          </m:sub>
        </m:sSub>
      </m:oMath>
      <w:r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 is the 1-α quantile</w:t>
      </w:r>
      <w:r w:rsidR="00432367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 of the standardized normal distribution.</w:t>
      </w:r>
    </w:p>
    <w:p w14:paraId="277DD0BA" w14:textId="3FA4339B" w:rsidR="00F41CD6" w:rsidRPr="00F315EB" w:rsidRDefault="00170C57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 xml:space="preserve">But this does not tell us what the confidence interval for the heritability would be. We know that heritability is estimated, in our data, as the estimated 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 correlation divided by the relationship coefficient </w:t>
      </w:r>
      <w:r w:rsidRPr="00F315EB">
        <w:rPr>
          <w:rFonts w:ascii="Times New Roman" w:hAnsi="Times New Roman"/>
          <w:i/>
          <w:sz w:val="20"/>
          <w:szCs w:val="20"/>
          <w:lang w:val="en-US"/>
        </w:rPr>
        <w:t>r</w:t>
      </w:r>
      <w:r w:rsidRPr="00F315EB">
        <w:rPr>
          <w:rFonts w:ascii="Times New Roman" w:hAnsi="Times New Roman"/>
          <w:sz w:val="20"/>
          <w:szCs w:val="20"/>
          <w:lang w:val="en-US"/>
        </w:rPr>
        <w:t xml:space="preserve">. If we denote the standard error of the heritability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sub>
        </m:sSub>
      </m:oMath>
      <w:r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, does it then hold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σ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den>
        </m:f>
      </m:oMath>
      <w:r w:rsidR="00032AE7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? </w:t>
      </w:r>
      <w:r w:rsidRPr="00F315EB">
        <w:rPr>
          <w:rFonts w:ascii="Times New Roman" w:hAnsi="Times New Roman"/>
          <w:sz w:val="20"/>
          <w:szCs w:val="20"/>
          <w:lang w:val="en-US"/>
        </w:rPr>
        <w:t>In fact, I would argue that it does!</w:t>
      </w:r>
      <w:r w:rsidR="00F41CD6" w:rsidRPr="00F315EB">
        <w:rPr>
          <w:rFonts w:ascii="Times New Roman" w:hAnsi="Times New Roman"/>
          <w:sz w:val="20"/>
          <w:szCs w:val="20"/>
          <w:lang w:val="en-US"/>
        </w:rPr>
        <w:t xml:space="preserve"> Per the Delta method, we have that if</w:t>
      </w:r>
    </w:p>
    <w:p w14:paraId="36551EF0" w14:textId="6DA683BE" w:rsidR="00F41CD6" w:rsidRPr="00F315EB" w:rsidRDefault="00F315EB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 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</m:oMath>
      </m:oMathPara>
    </w:p>
    <w:p w14:paraId="59149B13" w14:textId="5331E988" w:rsidR="008A63C9" w:rsidRPr="00F315EB" w:rsidRDefault="008A63C9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>then for a function g, it holds that</w:t>
      </w:r>
    </w:p>
    <w:p w14:paraId="3CD8D921" w14:textId="60AF103E" w:rsidR="008A63C9" w:rsidRPr="00F315EB" w:rsidRDefault="00F315EB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~ N(0,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</m:oMath>
      </m:oMathPara>
    </w:p>
    <w:p w14:paraId="370EF1E4" w14:textId="6A17A8CC" w:rsidR="008A63C9" w:rsidRPr="00F315EB" w:rsidRDefault="008A63C9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 xml:space="preserve">which gives us a link between the standard error for the </w:t>
      </w:r>
      <w:proofErr w:type="spellStart"/>
      <w:r w:rsidRPr="00F315EB">
        <w:rPr>
          <w:rFonts w:ascii="Times New Roman" w:hAnsi="Times New Roman"/>
          <w:sz w:val="20"/>
          <w:szCs w:val="20"/>
          <w:lang w:val="en-US"/>
        </w:rPr>
        <w:t>polychoric</w:t>
      </w:r>
      <w:proofErr w:type="spellEnd"/>
      <w:r w:rsidRPr="00F315EB">
        <w:rPr>
          <w:rFonts w:ascii="Times New Roman" w:hAnsi="Times New Roman"/>
          <w:sz w:val="20"/>
          <w:szCs w:val="20"/>
          <w:lang w:val="en-US"/>
        </w:rPr>
        <w:t xml:space="preserve"> correlation and the standard error of the heritability.</w:t>
      </w:r>
    </w:p>
    <w:p w14:paraId="28B39478" w14:textId="418454E1" w:rsidR="008A63C9" w:rsidRPr="00F315EB" w:rsidRDefault="008A63C9">
      <w:pPr>
        <w:rPr>
          <w:rFonts w:ascii="Times New Roman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>When applied to our example, we have that</w:t>
      </w:r>
    </w:p>
    <w:p w14:paraId="0CB9119C" w14:textId="15970021" w:rsidR="008A63C9" w:rsidRPr="00F315EB" w:rsidRDefault="00F315EB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pcorr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den>
          </m:f>
        </m:oMath>
      </m:oMathPara>
    </w:p>
    <w:p w14:paraId="123E4D04" w14:textId="00BF3370" w:rsidR="003C6F95" w:rsidRPr="00F315EB" w:rsidRDefault="0041544F">
      <w:pPr>
        <w:rPr>
          <w:rFonts w:ascii="Times New Roman" w:eastAsiaTheme="minorEastAsia" w:hAnsi="Times New Roman"/>
          <w:sz w:val="20"/>
          <w:szCs w:val="20"/>
          <w:lang w:val="en-US"/>
        </w:rPr>
      </w:pPr>
      <w:r w:rsidRPr="00F315EB">
        <w:rPr>
          <w:rFonts w:ascii="Times New Roman" w:hAnsi="Times New Roman"/>
          <w:sz w:val="20"/>
          <w:szCs w:val="20"/>
          <w:lang w:val="en-US"/>
        </w:rPr>
        <w:t>which means that</w:t>
      </w:r>
      <w:r w:rsidR="003C6F95" w:rsidRPr="00F315EB">
        <w:rPr>
          <w:rFonts w:ascii="Times New Roman" w:hAnsi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pcorr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1/</m:t>
        </m:r>
        <m:r>
          <w:rPr>
            <w:rFonts w:ascii="Cambria Math" w:hAnsi="Cambria Math"/>
            <w:sz w:val="20"/>
            <w:szCs w:val="20"/>
            <w:lang w:val="en-US"/>
          </w:rPr>
          <m:t>r.</m:t>
        </m:r>
      </m:oMath>
      <w:r w:rsidR="003C6F95" w:rsidRPr="00F315EB">
        <w:rPr>
          <w:rFonts w:ascii="Times New Roman" w:eastAsiaTheme="minorEastAsia" w:hAnsi="Times New Roman"/>
          <w:sz w:val="20"/>
          <w:szCs w:val="20"/>
          <w:lang w:val="en-US"/>
        </w:rPr>
        <w:t xml:space="preserve"> Adding all of this together we get that</w:t>
      </w:r>
    </w:p>
    <w:p w14:paraId="5D3641B3" w14:textId="3CD7708E" w:rsidR="003C6F95" w:rsidRPr="00F315EB" w:rsidRDefault="00F315EB">
      <w:pPr>
        <w:rPr>
          <w:rFonts w:ascii="Times New Roman" w:eastAsiaTheme="minorEastAsia" w:hAnsi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Var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den>
          </m:f>
        </m:oMath>
      </m:oMathPara>
    </w:p>
    <w:sectPr w:rsidR="003C6F95" w:rsidRPr="00F3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6C"/>
    <w:rsid w:val="00032AE7"/>
    <w:rsid w:val="00137C10"/>
    <w:rsid w:val="00170C57"/>
    <w:rsid w:val="00185EF5"/>
    <w:rsid w:val="002A51EB"/>
    <w:rsid w:val="003C6F95"/>
    <w:rsid w:val="0041544F"/>
    <w:rsid w:val="00432367"/>
    <w:rsid w:val="00603434"/>
    <w:rsid w:val="006371A1"/>
    <w:rsid w:val="00731054"/>
    <w:rsid w:val="007B336C"/>
    <w:rsid w:val="00887EF6"/>
    <w:rsid w:val="00893D44"/>
    <w:rsid w:val="008A63C9"/>
    <w:rsid w:val="00952039"/>
    <w:rsid w:val="00975A3D"/>
    <w:rsid w:val="009E7E3D"/>
    <w:rsid w:val="00A43842"/>
    <w:rsid w:val="00B714ED"/>
    <w:rsid w:val="00BD124B"/>
    <w:rsid w:val="00F315EB"/>
    <w:rsid w:val="00F41CD6"/>
    <w:rsid w:val="00F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FA9"/>
  <w15:chartTrackingRefBased/>
  <w15:docId w15:val="{2A15CCF1-958E-4A47-8B33-24FAD189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75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A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465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Sysoev</dc:creator>
  <cp:keywords/>
  <dc:description/>
  <cp:lastModifiedBy>Anton Sysoev</cp:lastModifiedBy>
  <cp:revision>21</cp:revision>
  <dcterms:created xsi:type="dcterms:W3CDTF">2021-04-15T10:02:00Z</dcterms:created>
  <dcterms:modified xsi:type="dcterms:W3CDTF">2021-04-23T12:14:00Z</dcterms:modified>
</cp:coreProperties>
</file>