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nriktningar"/>
    <w:p>
      <w:pPr>
        <w:pStyle w:val="Heading1"/>
      </w:pPr>
      <w:r>
        <w:t xml:space="preserve">Inriktningar</w:t>
      </w:r>
    </w:p>
    <w:p>
      <w:pPr>
        <w:pStyle w:val="FirstParagraph"/>
      </w:pPr>
      <w:r>
        <w:t xml:space="preserve">Det finns flera inriktningar inom Buddhismen, här är några av de:</w:t>
      </w:r>
    </w:p>
    <w:bookmarkStart w:id="20" w:name="theravada"/>
    <w:p>
      <w:pPr>
        <w:pStyle w:val="Heading2"/>
      </w:pPr>
      <w:r>
        <w:t xml:space="preserve">Theravada</w:t>
      </w:r>
    </w:p>
    <w:p>
      <w:pPr>
        <w:pStyle w:val="FirstParagraph"/>
      </w:pPr>
      <w:r>
        <w:t xml:space="preserve">Troande inom Theravada tror att det är väldigt svårt att uppnå till Nirvana. Man</w:t>
      </w:r>
      <w:r>
        <w:t xml:space="preserve"> </w:t>
      </w:r>
      <w:r>
        <w:rPr>
          <w:iCs/>
          <w:i/>
        </w:rPr>
        <w:t xml:space="preserve">måste</w:t>
      </w:r>
      <w:r>
        <w:t xml:space="preserve"> </w:t>
      </w:r>
      <w:r>
        <w:t xml:space="preserve">vara munk eller nunna för att kunna nå dit – dessa munkar/nunnor kan icke hjälpa varandra/andra människor att bli upplysta.</w:t>
      </w:r>
    </w:p>
    <w:p>
      <w:pPr>
        <w:pStyle w:val="BodyText"/>
      </w:pPr>
      <w:r>
        <w:t xml:space="preserve">Inom Theravada ser man Buddha som en vanlig människa istället för en sorts</w:t>
      </w:r>
      <w:r>
        <w:t xml:space="preserve"> </w:t>
      </w:r>
      <w:r>
        <w:t xml:space="preserve">“</w:t>
      </w:r>
      <w:r>
        <w:t xml:space="preserve">gud</w:t>
      </w:r>
      <w:r>
        <w:t xml:space="preserve">”</w:t>
      </w:r>
      <w:r>
        <w:t xml:space="preserve">.</w:t>
      </w:r>
    </w:p>
    <w:bookmarkEnd w:id="20"/>
    <w:bookmarkStart w:id="21" w:name="mahayana"/>
    <w:p>
      <w:pPr>
        <w:pStyle w:val="Heading2"/>
      </w:pPr>
      <w:r>
        <w:t xml:space="preserve">Mahayana</w:t>
      </w:r>
    </w:p>
    <w:p>
      <w:pPr>
        <w:pStyle w:val="FirstParagraph"/>
      </w:pPr>
      <w:r>
        <w:t xml:space="preserve">Inom Mahayana ser man Buddha som gud, och tror att han stannad kvar på jorden för att hjälpa andra nå Nirvana.</w:t>
      </w:r>
    </w:p>
    <w:p>
      <w:pPr>
        <w:pStyle w:val="BodyText"/>
      </w:pPr>
      <w:r>
        <w:t xml:space="preserve">Man tror dessutom att det finns</w:t>
      </w:r>
      <w:r>
        <w:t xml:space="preserve"> </w:t>
      </w:r>
      <w:r>
        <w:t xml:space="preserve">“</w:t>
      </w:r>
      <w:r>
        <w:t xml:space="preserve">bodhisattvor</w:t>
      </w:r>
      <w:r>
        <w:t xml:space="preserve">”</w:t>
      </w:r>
      <w:r>
        <w:t xml:space="preserve"> </w:t>
      </w:r>
      <w:r>
        <w:t xml:space="preserve">som har avstått ifrån Nirvana för att hjälpa andra människor. Dessa bodhisattvor avbildas som statyer och får ofta egna tempel som andra kan offra inom.</w:t>
      </w:r>
    </w:p>
    <w:bookmarkEnd w:id="21"/>
    <w:bookmarkStart w:id="22" w:name="tibet"/>
    <w:p>
      <w:pPr>
        <w:pStyle w:val="Heading2"/>
      </w:pPr>
      <w:r>
        <w:t xml:space="preserve">Tibet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iCs/>
          <w:i/>
        </w:rPr>
        <w:t xml:space="preserve">Tibet, Kina</w:t>
      </w:r>
      <w:r>
        <w:t xml:space="preserve"> </w:t>
      </w:r>
      <w:r>
        <w:t xml:space="preserve">tillber man Buddha som gud (likt Mahayana) och använder bönekvarnar för att Buddha ska uppfatta bönerna, inom Tibeiska inriktningen anses Dalai Lama som en bodhisattva.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2024-10-18T11:22:23Z</dcterms:created>
  <dcterms:modified xsi:type="dcterms:W3CDTF">2024-10-18T11:22:23Z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