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kheter-och-olikheter"/>
      <w:r>
        <w:t xml:space="preserve">Likheter och Olikheter</w:t>
      </w:r>
      <w:bookmarkEnd w:id="20"/>
    </w:p>
    <w:p>
      <w:pPr>
        <w:pStyle w:val="Heading2"/>
      </w:pPr>
      <w:bookmarkStart w:id="21" w:name="uppgift-1-språk"/>
      <w:r>
        <w:t xml:space="preserve">Uppgift 1 — Språk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Bokmål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Nynorks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p>
      <w:pPr>
        <w:pStyle w:val="Heading3"/>
      </w:pPr>
      <w:bookmarkStart w:id="22" w:name="likheter"/>
      <w:r>
        <w:t xml:space="preserve">Likheter</w:t>
      </w:r>
      <w:bookmarkEnd w:id="22"/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p>
      <w:pPr>
        <w:pStyle w:val="Heading3"/>
      </w:pPr>
      <w:bookmarkStart w:id="23" w:name="skillnader"/>
      <w:r>
        <w:t xml:space="preserve">Skillnader</w:t>
      </w:r>
      <w:bookmarkEnd w:id="23"/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2024-09-06T07:02:42Z</dcterms:created>
  <dcterms:modified xsi:type="dcterms:W3CDTF">2024-09-06T07:02:42Z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