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kheter-och-olikheter"/>
      <w:r>
        <w:t xml:space="preserve">Likheter och Olikheter</w:t>
      </w:r>
      <w:bookmarkEnd w:id="20"/>
    </w:p>
    <w:p>
      <w:pPr>
        <w:pStyle w:val="Heading2"/>
      </w:pPr>
      <w:bookmarkStart w:id="21" w:name="uppgift-1-språk"/>
      <w:r>
        <w:t xml:space="preserve">Uppgift 1 — Språk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Bokmål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Nynorks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p>
      <w:pPr>
        <w:pStyle w:val="Heading3"/>
      </w:pPr>
      <w:bookmarkStart w:id="22" w:name="likheter"/>
      <w:r>
        <w:t xml:space="preserve">Likheter</w:t>
      </w:r>
      <w:bookmarkEnd w:id="22"/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p>
      <w:pPr>
        <w:pStyle w:val="Heading3"/>
      </w:pPr>
      <w:bookmarkStart w:id="23" w:name="skillnader"/>
      <w:r>
        <w:t xml:space="preserve">Skillnader</w:t>
      </w:r>
      <w:bookmarkEnd w:id="23"/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