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PROTOTIPOS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PROYECTO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sz w:val="40"/>
          <w:szCs w:val="40"/>
        </w:rPr>
        <w:t>Sistema de reconocimiento facial para la identificación de postulantes en el acceso de resultados del examen de admisión de UNMSM”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Grupo #6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Integrantes: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Almonacid Paripancca Antony Brayan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Montalvo Garcia Antony Abel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Tovar Taboada Ricardo Manuel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Unocc Sihuinta Roberto Carlos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Pernia Meza Iver Elvis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Garcia Martinez Christian Arturo</w:t>
      </w:r>
    </w:p>
    <w:p>
      <w:pPr>
        <w:pStyle w:val="Normal"/>
        <w:tabs>
          <w:tab w:val="left" w:pos="3795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OCHeading"/>
        <w:numPr>
          <w:ilvl w:val="0"/>
          <w:numId w:val="0"/>
        </w:numPr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sdt>
      <w:sdtPr>
        <w:docPartObj>
          <w:docPartGallery w:val="Table of Contents"/>
          <w:docPartUnique w:val="true"/>
        </w:docPartObj>
        <w:id w:val="149685220"/>
      </w:sdtPr>
      <w:sdtContent>
        <w:p>
          <w:pPr>
            <w:pStyle w:val="TOCHeading"/>
            <w:numPr>
              <w:ilvl w:val="0"/>
              <w:numId w:val="0"/>
            </w:numPr>
            <w:rPr>
              <w:rFonts w:cs="Times New Roman"/>
              <w:b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4"/>
              <w:vanish w:val="false"/>
              <w:rFonts w:cs="Times New Roman" w:ascii="Times New Roman" w:hAnsi="Times New Roman"/>
            </w:rPr>
            <w:fldChar w:fldCharType="separate"/>
          </w:r>
          <w:hyperlink w:anchor="_Toc4434133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Identificación del producto mediante un nombre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1.2.2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Aplicaciones del software: beneficios, objetivos y metas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3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Personal involucrado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Definiciones, acrónimos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1.6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Resumen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Descripción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Perspectiva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Funcionalidad del producto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Características de los usuarios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Restricciones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Suposiciones y dependencias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4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2.6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Evolución previsible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comunes de las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3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3.1.4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Interfaces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no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Otros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5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3.4.1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Requisitos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494" w:leader="dot"/>
            </w:tabs>
            <w:rPr>
              <w:rFonts w:ascii="Times New Roman" w:hAnsi="Times New Roman" w:eastAsia="" w:cs="Times New Roman" w:eastAsiaTheme="minorEastAsia"/>
              <w:sz w:val="24"/>
              <w:lang w:eastAsia="es-PE"/>
            </w:rPr>
          </w:pPr>
          <w:hyperlink w:anchor="_Toc4434136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4"/>
              </w:rPr>
              <w:t>3.4.2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es-PE"/>
              </w:rPr>
              <w:tab/>
            </w:r>
            <w:r>
              <w:rPr>
                <w:rStyle w:val="IndexLink"/>
                <w:rFonts w:cs="Times New Roman" w:ascii="Times New Roman" w:hAnsi="Times New Roman"/>
                <w:sz w:val="24"/>
              </w:rPr>
              <w:t>Otros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Monitoreo de Requisitos: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Grilla de postulantes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Opción revisar: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szCs w:val="24"/>
        <w:rFonts w:cs="Calibri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z w:val="18"/>
        <w:rFonts w:cs="Calibri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2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b326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b3269"/>
    <w:pPr>
      <w:keepNext w:val="true"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eb3269"/>
    <w:pPr>
      <w:keepNext w:val="true"/>
      <w:keepLines/>
      <w:numPr>
        <w:ilvl w:val="2"/>
        <w:numId w:val="1"/>
      </w:numPr>
      <w:spacing w:before="40" w:after="0"/>
      <w:ind w:left="1571" w:hanging="0"/>
      <w:outlineLvl w:val="2"/>
    </w:pPr>
    <w:rPr>
      <w:rFonts w:ascii="Times New Roman" w:hAnsi="Times New Roman" w:eastAsia="" w:cs="" w:cstheme="majorBidi" w:eastAsiaTheme="majorEastAsia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4720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84720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8472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47206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b3269"/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b3269"/>
    <w:rPr>
      <w:rFonts w:ascii="Times New Roman" w:hAnsi="Times New Roman" w:eastAsia="" w:cs="" w:cstheme="majorBidi" w:eastAsiaTheme="majorEastAsia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8472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8472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rrafodelistaCar" w:customStyle="1">
    <w:name w:val="Párrafo de lista Car"/>
    <w:link w:val="Prrafodelista"/>
    <w:uiPriority w:val="34"/>
    <w:qFormat/>
    <w:rsid w:val="00592a7a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93d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93d5c"/>
    <w:rPr/>
  </w:style>
  <w:style w:type="character" w:styleId="ListLabel1">
    <w:name w:val="ListLabel 1"/>
    <w:qFormat/>
    <w:rPr>
      <w:rFonts w:cs="Calibri"/>
      <w:sz w:val="24"/>
      <w:szCs w:val="24"/>
    </w:rPr>
  </w:style>
  <w:style w:type="character" w:styleId="ListLabel2">
    <w:name w:val="ListLabel 2"/>
    <w:qFormat/>
    <w:rPr>
      <w:rFonts w:cs="Calibri"/>
      <w:sz w:val="1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 w:cs="Courier New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Times New Roman" w:hAnsi="Times New Roman"/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sz w:val="24"/>
      <w:szCs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sz w:val="24"/>
      <w:szCs w:val="24"/>
    </w:rPr>
  </w:style>
  <w:style w:type="character" w:styleId="ListLabel57">
    <w:name w:val="ListLabel 57"/>
    <w:qFormat/>
    <w:rPr>
      <w:sz w:val="24"/>
      <w:szCs w:val="24"/>
    </w:rPr>
  </w:style>
  <w:style w:type="character" w:styleId="ListLabel58">
    <w:name w:val="ListLabel 58"/>
    <w:qFormat/>
    <w:rPr>
      <w:sz w:val="24"/>
      <w:szCs w:val="24"/>
    </w:rPr>
  </w:style>
  <w:style w:type="character" w:styleId="ListLabel59">
    <w:name w:val="ListLabel 59"/>
    <w:qFormat/>
    <w:rPr>
      <w:sz w:val="24"/>
      <w:szCs w:val="24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sz w:val="24"/>
      <w:szCs w:val="24"/>
    </w:rPr>
  </w:style>
  <w:style w:type="character" w:styleId="ListLabel62">
    <w:name w:val="ListLabel 62"/>
    <w:qFormat/>
    <w:rPr>
      <w:sz w:val="24"/>
      <w:szCs w:val="24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b/>
    </w:rPr>
  </w:style>
  <w:style w:type="character" w:styleId="ListLabel118">
    <w:name w:val="ListLabel 118"/>
    <w:qFormat/>
    <w:rPr>
      <w:rFonts w:cs="Calibri"/>
      <w:b w:val="false"/>
      <w:bCs/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IndexLink">
    <w:name w:val="Index Link"/>
    <w:qFormat/>
    <w:rPr/>
  </w:style>
  <w:style w:type="character" w:styleId="ListLabel128">
    <w:name w:val="ListLabel 128"/>
    <w:qFormat/>
    <w:rPr>
      <w:rFonts w:cs="Calibri"/>
      <w:sz w:val="24"/>
      <w:szCs w:val="24"/>
    </w:rPr>
  </w:style>
  <w:style w:type="character" w:styleId="ListLabel129">
    <w:name w:val="ListLabel 129"/>
    <w:qFormat/>
    <w:rPr>
      <w:rFonts w:cs="Calibri"/>
      <w:sz w:val="18"/>
    </w:rPr>
  </w:style>
  <w:style w:type="character" w:styleId="ListLabel130">
    <w:name w:val="ListLabel 130"/>
    <w:qFormat/>
    <w:rPr>
      <w:rFonts w:ascii="Times New Roman" w:hAnsi="Times New Roman"/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847206"/>
    <w:pPr>
      <w:numPr>
        <w:ilvl w:val="0"/>
        <w:numId w:val="0"/>
      </w:numPr>
      <w:spacing w:lineRule="auto" w:line="259"/>
    </w:pPr>
    <w:rPr>
      <w:lang w:eastAsia="es-PE"/>
    </w:rPr>
  </w:style>
  <w:style w:type="paragraph" w:styleId="Contents1">
    <w:name w:val="TOC 1"/>
    <w:basedOn w:val="Normal"/>
    <w:next w:val="Normal"/>
    <w:autoRedefine/>
    <w:uiPriority w:val="39"/>
    <w:unhideWhenUsed/>
    <w:rsid w:val="0084720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b7eac"/>
    <w:pPr>
      <w:tabs>
        <w:tab w:val="left" w:pos="880" w:leader="none"/>
        <w:tab w:val="right" w:pos="8494" w:leader="dot"/>
      </w:tabs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47206"/>
    <w:pPr>
      <w:spacing w:before="0" w:after="100"/>
      <w:ind w:left="440" w:hanging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847206"/>
    <w:pPr>
      <w:spacing w:before="0" w:after="200"/>
      <w:ind w:left="720" w:hanging="0"/>
      <w:contextualSpacing/>
    </w:pPr>
    <w:rPr/>
  </w:style>
  <w:style w:type="paragraph" w:styleId="Normalindentado2" w:customStyle="1">
    <w:name w:val="Normal indentado 2"/>
    <w:basedOn w:val="Normal"/>
    <w:qFormat/>
    <w:rsid w:val="00a67605"/>
    <w:pPr>
      <w:spacing w:lineRule="auto" w:line="240" w:before="0" w:after="0"/>
      <w:ind w:left="600" w:hanging="0"/>
    </w:pPr>
    <w:rPr>
      <w:rFonts w:ascii="Arial" w:hAnsi="Arial" w:eastAsia="Times New Roman" w:cs="Times New Roman"/>
      <w:sz w:val="20"/>
      <w:szCs w:val="24"/>
      <w:lang w:val="es-ES" w:eastAsia="es-ES"/>
    </w:rPr>
  </w:style>
  <w:style w:type="paragraph" w:styleId="Header">
    <w:name w:val="Header"/>
    <w:basedOn w:val="Normal"/>
    <w:link w:val="Encabezado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93d5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bd5328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P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56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27EA8-D40F-4414-A135-85BDB640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Application>LibreOffice/6.0.7.3$Linux_X86_64 LibreOffice_project/00m0$Build-3</Application>
  <Pages>3</Pages>
  <Words>196</Words>
  <Characters>1076</Characters>
  <CharactersWithSpaces>1222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2020-06-29T17:13:00Z</dcterms:created>
  <dc:creator>Christian Garcia</dc:creator>
  <dc:description/>
  <dc:language>en-US</dc:language>
  <cp:lastModifiedBy/>
  <dcterms:modified xsi:type="dcterms:W3CDTF">2020-07-03T16:14:58Z</dcterms:modified>
  <cp:revision>1276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