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20BE2" w14:textId="77777777" w:rsidR="008A18DA" w:rsidRDefault="008A18DA">
      <w:pPr>
        <w:spacing w:after="0"/>
      </w:pPr>
    </w:p>
    <w:p w14:paraId="6D8ED12A" w14:textId="77777777" w:rsidR="008A18DA" w:rsidRDefault="008A18DA">
      <w:pPr>
        <w:spacing w:after="0"/>
      </w:pPr>
    </w:p>
    <w:p w14:paraId="1AFB1FF6" w14:textId="77777777" w:rsidR="008A18DA" w:rsidRDefault="008A18DA">
      <w:pPr>
        <w:spacing w:after="0"/>
      </w:pPr>
    </w:p>
    <w:p w14:paraId="2F05E2D4" w14:textId="77777777" w:rsidR="008A18DA" w:rsidRDefault="008A18DA">
      <w:pPr>
        <w:spacing w:after="0"/>
      </w:pPr>
    </w:p>
    <w:p w14:paraId="0FDBBD47" w14:textId="77777777" w:rsidR="008A18DA" w:rsidRDefault="00000000">
      <w:pPr>
        <w:jc w:val="center"/>
      </w:pPr>
      <w:r>
        <w:rPr>
          <w:b/>
          <w:color w:val="1E2A3A"/>
          <w:sz w:val="72"/>
        </w:rPr>
        <w:t>PROMETHEUS</w:t>
      </w:r>
    </w:p>
    <w:p w14:paraId="7BF91399" w14:textId="77777777" w:rsidR="008A18DA" w:rsidRDefault="00000000">
      <w:pPr>
        <w:jc w:val="center"/>
      </w:pPr>
      <w:r>
        <w:rPr>
          <w:b/>
          <w:color w:val="9B111E"/>
          <w:sz w:val="36"/>
        </w:rPr>
        <w:t>RISK MANAGEMENT PLATFORM</w:t>
      </w:r>
    </w:p>
    <w:p w14:paraId="1D71C760" w14:textId="77777777" w:rsidR="008A18DA" w:rsidRDefault="008A18DA"/>
    <w:p w14:paraId="30FA6BD8" w14:textId="77777777" w:rsidR="008A18DA" w:rsidRDefault="008A18DA">
      <w:pPr>
        <w:pBdr>
          <w:bottom w:val="single" w:sz="6" w:space="1" w:color="9B111E"/>
        </w:pBdr>
      </w:pPr>
    </w:p>
    <w:p w14:paraId="1207F944" w14:textId="77777777" w:rsidR="008A18DA" w:rsidRDefault="008A18DA"/>
    <w:p w14:paraId="56F2573B" w14:textId="77777777" w:rsidR="008A18DA" w:rsidRDefault="00000000">
      <w:pPr>
        <w:jc w:val="center"/>
      </w:pPr>
      <w:r>
        <w:rPr>
          <w:color w:val="1E2A3A"/>
          <w:sz w:val="32"/>
        </w:rPr>
        <w:t>Functional Specification Document</w:t>
      </w:r>
    </w:p>
    <w:p w14:paraId="2A094EBF" w14:textId="77777777" w:rsidR="008A18DA" w:rsidRDefault="008A18DA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5472"/>
      </w:tblGrid>
      <w:tr w:rsidR="008A18DA" w14:paraId="7E7ABFA8" w14:textId="77777777">
        <w:trPr>
          <w:jc w:val="center"/>
        </w:trPr>
        <w:tc>
          <w:tcPr>
            <w:tcW w:w="3168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shd w:val="clear" w:color="auto" w:fill="1E2A3A"/>
          </w:tcPr>
          <w:p w14:paraId="421EC6D5" w14:textId="77777777" w:rsidR="008A18DA" w:rsidRDefault="00000000">
            <w:r>
              <w:rPr>
                <w:b/>
                <w:color w:val="FFFFFF"/>
                <w:sz w:val="20"/>
              </w:rPr>
              <w:t>Document Reference</w:t>
            </w:r>
          </w:p>
        </w:tc>
        <w:tc>
          <w:tcPr>
            <w:tcW w:w="5472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shd w:val="clear" w:color="auto" w:fill="F0F4F8"/>
          </w:tcPr>
          <w:p w14:paraId="31BEC43A" w14:textId="77777777" w:rsidR="008A18DA" w:rsidRDefault="00000000">
            <w:r>
              <w:rPr>
                <w:color w:val="1E2A3A"/>
                <w:sz w:val="20"/>
              </w:rPr>
              <w:t>PROMETHEUS-FSD-v1.0</w:t>
            </w:r>
          </w:p>
        </w:tc>
      </w:tr>
      <w:tr w:rsidR="008A18DA" w14:paraId="1ABF202E" w14:textId="77777777">
        <w:trPr>
          <w:jc w:val="center"/>
        </w:trPr>
        <w:tc>
          <w:tcPr>
            <w:tcW w:w="3168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shd w:val="clear" w:color="auto" w:fill="1E2A3A"/>
          </w:tcPr>
          <w:p w14:paraId="46178106" w14:textId="77777777" w:rsidR="008A18DA" w:rsidRDefault="00000000"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w="5472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shd w:val="clear" w:color="auto" w:fill="FFFFFF"/>
          </w:tcPr>
          <w:p w14:paraId="0EBD99BA" w14:textId="77777777" w:rsidR="008A18DA" w:rsidRDefault="00000000">
            <w:r>
              <w:rPr>
                <w:color w:val="1E2A3A"/>
                <w:sz w:val="20"/>
              </w:rPr>
              <w:t>1.0</w:t>
            </w:r>
          </w:p>
        </w:tc>
      </w:tr>
      <w:tr w:rsidR="008A18DA" w14:paraId="6AC97E8B" w14:textId="77777777">
        <w:trPr>
          <w:jc w:val="center"/>
        </w:trPr>
        <w:tc>
          <w:tcPr>
            <w:tcW w:w="3168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shd w:val="clear" w:color="auto" w:fill="1E2A3A"/>
          </w:tcPr>
          <w:p w14:paraId="3142539D" w14:textId="77777777" w:rsidR="008A18DA" w:rsidRDefault="00000000"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w="5472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shd w:val="clear" w:color="auto" w:fill="F0F4F8"/>
          </w:tcPr>
          <w:p w14:paraId="588E6BC6" w14:textId="77777777" w:rsidR="008A18DA" w:rsidRDefault="00000000">
            <w:r>
              <w:rPr>
                <w:color w:val="1E2A3A"/>
                <w:sz w:val="20"/>
              </w:rPr>
              <w:t>April 5, 2026</w:t>
            </w:r>
          </w:p>
        </w:tc>
      </w:tr>
      <w:tr w:rsidR="008A18DA" w14:paraId="7BC0E132" w14:textId="77777777">
        <w:trPr>
          <w:jc w:val="center"/>
        </w:trPr>
        <w:tc>
          <w:tcPr>
            <w:tcW w:w="3168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shd w:val="clear" w:color="auto" w:fill="1E2A3A"/>
          </w:tcPr>
          <w:p w14:paraId="4F087EC0" w14:textId="77777777" w:rsidR="008A18DA" w:rsidRDefault="00000000">
            <w:r>
              <w:rPr>
                <w:b/>
                <w:color w:val="FFFFFF"/>
                <w:sz w:val="20"/>
              </w:rPr>
              <w:t>Classification</w:t>
            </w:r>
          </w:p>
        </w:tc>
        <w:tc>
          <w:tcPr>
            <w:tcW w:w="5472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shd w:val="clear" w:color="auto" w:fill="FFFFFF"/>
          </w:tcPr>
          <w:p w14:paraId="13F366F1" w14:textId="77777777" w:rsidR="008A18DA" w:rsidRDefault="00000000">
            <w:r>
              <w:rPr>
                <w:color w:val="1E2A3A"/>
                <w:sz w:val="20"/>
              </w:rPr>
              <w:t>Internal Use — Confidential</w:t>
            </w:r>
          </w:p>
        </w:tc>
      </w:tr>
      <w:tr w:rsidR="008A18DA" w14:paraId="759C047C" w14:textId="77777777">
        <w:trPr>
          <w:jc w:val="center"/>
        </w:trPr>
        <w:tc>
          <w:tcPr>
            <w:tcW w:w="3168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shd w:val="clear" w:color="auto" w:fill="1E2A3A"/>
          </w:tcPr>
          <w:p w14:paraId="318C3D77" w14:textId="77777777" w:rsidR="008A18DA" w:rsidRDefault="00000000"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w="5472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shd w:val="clear" w:color="auto" w:fill="F0F4F8"/>
          </w:tcPr>
          <w:p w14:paraId="6C1ED346" w14:textId="77777777" w:rsidR="008A18DA" w:rsidRDefault="00000000">
            <w:r>
              <w:rPr>
                <w:color w:val="1E2A3A"/>
                <w:sz w:val="20"/>
              </w:rPr>
              <w:t>Final</w:t>
            </w:r>
          </w:p>
        </w:tc>
      </w:tr>
      <w:tr w:rsidR="008A18DA" w14:paraId="617EFBB9" w14:textId="77777777">
        <w:trPr>
          <w:jc w:val="center"/>
        </w:trPr>
        <w:tc>
          <w:tcPr>
            <w:tcW w:w="3168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shd w:val="clear" w:color="auto" w:fill="1E2A3A"/>
          </w:tcPr>
          <w:p w14:paraId="7D650400" w14:textId="77777777" w:rsidR="008A18DA" w:rsidRDefault="00000000">
            <w:r>
              <w:rPr>
                <w:b/>
                <w:color w:val="FFFFFF"/>
                <w:sz w:val="20"/>
              </w:rPr>
              <w:t>Prepared By</w:t>
            </w:r>
          </w:p>
        </w:tc>
        <w:tc>
          <w:tcPr>
            <w:tcW w:w="5472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shd w:val="clear" w:color="auto" w:fill="FFFFFF"/>
          </w:tcPr>
          <w:p w14:paraId="2757770D" w14:textId="77777777" w:rsidR="008A18DA" w:rsidRDefault="00000000">
            <w:r>
              <w:rPr>
                <w:color w:val="1E2A3A"/>
                <w:sz w:val="20"/>
              </w:rPr>
              <w:t>Risk Technology — Lead Developer</w:t>
            </w:r>
          </w:p>
        </w:tc>
      </w:tr>
      <w:tr w:rsidR="008A18DA" w14:paraId="6E276160" w14:textId="77777777">
        <w:trPr>
          <w:jc w:val="center"/>
        </w:trPr>
        <w:tc>
          <w:tcPr>
            <w:tcW w:w="3168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shd w:val="clear" w:color="auto" w:fill="1E2A3A"/>
          </w:tcPr>
          <w:p w14:paraId="5F8BC56B" w14:textId="77777777" w:rsidR="008A18DA" w:rsidRDefault="00000000">
            <w:r>
              <w:rPr>
                <w:b/>
                <w:color w:val="FFFFFF"/>
                <w:sz w:val="20"/>
              </w:rPr>
              <w:t>Reviewed By</w:t>
            </w:r>
          </w:p>
        </w:tc>
        <w:tc>
          <w:tcPr>
            <w:tcW w:w="5472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shd w:val="clear" w:color="auto" w:fill="F0F4F8"/>
          </w:tcPr>
          <w:p w14:paraId="10217237" w14:textId="77777777" w:rsidR="008A18DA" w:rsidRDefault="00000000">
            <w:r>
              <w:rPr>
                <w:color w:val="1E2A3A"/>
                <w:sz w:val="20"/>
              </w:rPr>
              <w:t>Head of Market Risk | Head of Credit Risk | Regulatory Affairs</w:t>
            </w:r>
          </w:p>
        </w:tc>
      </w:tr>
    </w:tbl>
    <w:p w14:paraId="77CF7EF5" w14:textId="77777777" w:rsidR="008A18DA" w:rsidRDefault="00000000">
      <w:r>
        <w:br w:type="page"/>
      </w:r>
    </w:p>
    <w:p w14:paraId="6E466A2C" w14:textId="77777777" w:rsidR="008A18DA" w:rsidRDefault="00000000">
      <w:pPr>
        <w:pStyle w:val="Heading2"/>
      </w:pPr>
      <w:r>
        <w:lastRenderedPageBreak/>
        <w:t>DOCUMENT CONTROL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A18DA" w14:paraId="7C0D9067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1E2A3A"/>
            <w:vAlign w:val="center"/>
          </w:tcPr>
          <w:p w14:paraId="1E640CDA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1E2A3A"/>
            <w:vAlign w:val="center"/>
          </w:tcPr>
          <w:p w14:paraId="7F4DCC33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1E2A3A"/>
            <w:vAlign w:val="center"/>
          </w:tcPr>
          <w:p w14:paraId="669FCBE4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FFFFFF"/>
                <w:sz w:val="19"/>
              </w:rPr>
              <w:t>Author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1E2A3A"/>
            <w:vAlign w:val="center"/>
          </w:tcPr>
          <w:p w14:paraId="1B5DE457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FFFFFF"/>
                <w:sz w:val="19"/>
              </w:rPr>
              <w:t>Description of Change</w:t>
            </w:r>
          </w:p>
        </w:tc>
      </w:tr>
      <w:tr w:rsidR="008A18DA" w14:paraId="1570A77E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2F69C577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0.1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07C93E6D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November 2024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4E6C870E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Lead Developer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34860B6A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Initial draft — core engine sections</w:t>
            </w:r>
          </w:p>
        </w:tc>
      </w:tr>
      <w:tr w:rsidR="008A18DA" w14:paraId="7DF18031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1DD65947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0.5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432BBDBA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December 2024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001A669C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Lead Developer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0FDF2094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Completed FR sections, architecture</w:t>
            </w:r>
          </w:p>
        </w:tc>
      </w:tr>
      <w:tr w:rsidR="008A18DA" w14:paraId="45E68F91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34CFC960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0.9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226D313B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January 2025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5206779A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Lead Developer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5D27409C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Review draft — submitted to stakeholders</w:t>
            </w:r>
          </w:p>
        </w:tc>
      </w:tr>
      <w:tr w:rsidR="008A18DA" w14:paraId="55FD04FE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391E80EC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1.0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6244B001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April 5, 2026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00210124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Lead Developer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0D356F57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Final release</w:t>
            </w:r>
          </w:p>
        </w:tc>
      </w:tr>
    </w:tbl>
    <w:p w14:paraId="66B568D1" w14:textId="77777777" w:rsidR="008A18DA" w:rsidRDefault="008A18DA"/>
    <w:p w14:paraId="588301B3" w14:textId="77777777" w:rsidR="008A18DA" w:rsidRDefault="00000000">
      <w:pPr>
        <w:spacing w:before="40" w:after="80"/>
      </w:pPr>
      <w:r>
        <w:rPr>
          <w:b/>
        </w:rPr>
        <w:t>Distribution List:</w:t>
      </w:r>
    </w:p>
    <w:p w14:paraId="34E51FD2" w14:textId="77777777" w:rsidR="008A18DA" w:rsidRDefault="00000000">
      <w:pPr>
        <w:spacing w:before="40" w:after="80"/>
      </w:pPr>
      <w:r>
        <w:t>Chief Risk Officer · Head of Market Risk · Head of Credit Risk · Head of Treasury · Regulatory Affairs · IT Infrastructure · External Auditors (upon request)</w:t>
      </w:r>
    </w:p>
    <w:p w14:paraId="5502956D" w14:textId="77777777" w:rsidR="008A18DA" w:rsidRDefault="00000000">
      <w:pPr>
        <w:spacing w:before="40" w:after="80"/>
      </w:pPr>
      <w:r>
        <w:rPr>
          <w:b/>
        </w:rPr>
        <w:t>Review Cycle:</w:t>
      </w:r>
      <w:r>
        <w:t xml:space="preserve"> Quarterly or upon material regulatory update (BCBS standards revision, supervisory guidance)</w:t>
      </w:r>
    </w:p>
    <w:p w14:paraId="5F2B6424" w14:textId="77777777" w:rsidR="008A18DA" w:rsidRDefault="008A18DA">
      <w:pPr>
        <w:pBdr>
          <w:bottom w:val="single" w:sz="6" w:space="1" w:color="9B111E"/>
        </w:pBdr>
      </w:pPr>
    </w:p>
    <w:p w14:paraId="1EADA859" w14:textId="77777777" w:rsidR="008A18DA" w:rsidRDefault="008A18DA">
      <w:pPr>
        <w:pBdr>
          <w:bottom w:val="single" w:sz="6" w:space="1" w:color="9B111E"/>
        </w:pBdr>
      </w:pPr>
    </w:p>
    <w:p w14:paraId="07202E0F" w14:textId="77777777" w:rsidR="008A18DA" w:rsidRDefault="00000000">
      <w:pPr>
        <w:pStyle w:val="Heading1"/>
      </w:pPr>
      <w:r>
        <w:t>TABLE OF CONTENTS</w:t>
      </w:r>
    </w:p>
    <w:p w14:paraId="7893B31D" w14:textId="77777777" w:rsidR="008A18DA" w:rsidRDefault="008A18DA">
      <w:pPr>
        <w:pBdr>
          <w:bottom w:val="single" w:sz="6" w:space="1" w:color="9B111E"/>
        </w:pBdr>
      </w:pPr>
    </w:p>
    <w:p w14:paraId="554B4C2E" w14:textId="77777777" w:rsidR="008A18DA" w:rsidRDefault="00000000">
      <w:pPr>
        <w:pStyle w:val="ListNumber"/>
        <w:spacing w:before="20" w:after="40"/>
      </w:pPr>
      <w:r>
        <w:t>Table of Contents</w:t>
      </w:r>
    </w:p>
    <w:p w14:paraId="44B66916" w14:textId="77777777" w:rsidR="008A18DA" w:rsidRDefault="00000000">
      <w:pPr>
        <w:pStyle w:val="ListNumber"/>
        <w:spacing w:before="20" w:after="40"/>
      </w:pPr>
      <w:r>
        <w:t>Project Description</w:t>
      </w:r>
    </w:p>
    <w:p w14:paraId="24EA4BCF" w14:textId="77777777" w:rsidR="008A18DA" w:rsidRDefault="00000000">
      <w:pPr>
        <w:pStyle w:val="ListNumber"/>
        <w:spacing w:before="20" w:after="40"/>
      </w:pPr>
      <w:r>
        <w:t>Project Objective</w:t>
      </w:r>
    </w:p>
    <w:p w14:paraId="4B6AFD5E" w14:textId="77777777" w:rsidR="008A18DA" w:rsidRDefault="00000000">
      <w:pPr>
        <w:pStyle w:val="ListNumber"/>
        <w:spacing w:before="20" w:after="40"/>
      </w:pPr>
      <w:r>
        <w:t>Components Impacted</w:t>
      </w:r>
    </w:p>
    <w:p w14:paraId="6286EFB0" w14:textId="77777777" w:rsidR="008A18DA" w:rsidRDefault="00000000">
      <w:pPr>
        <w:pStyle w:val="ListNumber"/>
        <w:spacing w:before="20" w:after="40"/>
      </w:pPr>
      <w:r>
        <w:t>Upstream Dependencies</w:t>
      </w:r>
    </w:p>
    <w:p w14:paraId="6DA62C65" w14:textId="77777777" w:rsidR="008A18DA" w:rsidRDefault="00000000">
      <w:pPr>
        <w:pStyle w:val="ListNumber"/>
        <w:spacing w:before="20" w:after="40"/>
      </w:pPr>
      <w:r>
        <w:t>Downstream Dependencies</w:t>
      </w:r>
    </w:p>
    <w:p w14:paraId="1B020964" w14:textId="77777777" w:rsidR="008A18DA" w:rsidRDefault="00000000">
      <w:pPr>
        <w:pStyle w:val="ListNumber"/>
        <w:spacing w:before="20" w:after="40"/>
      </w:pPr>
      <w:r>
        <w:t>Business Requirements</w:t>
      </w:r>
    </w:p>
    <w:p w14:paraId="382F0DFB" w14:textId="77777777" w:rsidR="008A18DA" w:rsidRDefault="00000000">
      <w:pPr>
        <w:pStyle w:val="ListNumber"/>
        <w:spacing w:before="20" w:after="40"/>
      </w:pPr>
      <w:r>
        <w:t>Functional Requirements</w:t>
      </w:r>
    </w:p>
    <w:p w14:paraId="0038290F" w14:textId="77777777" w:rsidR="008A18DA" w:rsidRPr="0067037A" w:rsidRDefault="00000000">
      <w:pPr>
        <w:pStyle w:val="ListBullet"/>
        <w:spacing w:before="20" w:after="40"/>
        <w:ind w:left="720"/>
        <w:rPr>
          <w:lang w:val="fr-FR"/>
        </w:rPr>
      </w:pPr>
      <w:r w:rsidRPr="0067037A">
        <w:rPr>
          <w:lang w:val="fr-FR"/>
        </w:rPr>
        <w:t>FR-001: SA-CCR Calculation Engine (CRE52)</w:t>
      </w:r>
    </w:p>
    <w:p w14:paraId="058BD3E2" w14:textId="77777777" w:rsidR="008A18DA" w:rsidRDefault="00000000">
      <w:pPr>
        <w:pStyle w:val="ListBullet"/>
        <w:spacing w:before="20" w:after="40"/>
        <w:ind w:left="720"/>
      </w:pPr>
      <w:r>
        <w:t>FR-002: IMM Monte Carlo Engine (CRE53)</w:t>
      </w:r>
    </w:p>
    <w:p w14:paraId="604C37C1" w14:textId="77777777" w:rsidR="008A18DA" w:rsidRDefault="00000000">
      <w:pPr>
        <w:pStyle w:val="ListBullet"/>
        <w:spacing w:before="20" w:after="40"/>
        <w:ind w:left="720"/>
      </w:pPr>
      <w:r>
        <w:t>FR-003: A-IRB Credit Risk Engine (CRE30–36)</w:t>
      </w:r>
    </w:p>
    <w:p w14:paraId="6703C73B" w14:textId="77777777" w:rsidR="008A18DA" w:rsidRDefault="00000000">
      <w:pPr>
        <w:pStyle w:val="ListBullet"/>
        <w:spacing w:before="20" w:after="40"/>
        <w:ind w:left="720"/>
      </w:pPr>
      <w:r>
        <w:t>FR-004: FRTB Market Risk Engine (MAR21–33)</w:t>
      </w:r>
    </w:p>
    <w:p w14:paraId="16FF0D82" w14:textId="77777777" w:rsidR="008A18DA" w:rsidRDefault="00000000">
      <w:pPr>
        <w:pStyle w:val="ListBullet"/>
        <w:spacing w:before="20" w:after="40"/>
        <w:ind w:left="720"/>
      </w:pPr>
      <w:r>
        <w:t>FR-005: CVA Risk Engine (MAR50)</w:t>
      </w:r>
    </w:p>
    <w:p w14:paraId="51B5FD5B" w14:textId="77777777" w:rsidR="008A18DA" w:rsidRDefault="00000000">
      <w:pPr>
        <w:pStyle w:val="ListBullet"/>
        <w:spacing w:before="20" w:after="40"/>
        <w:ind w:left="720"/>
      </w:pPr>
      <w:r>
        <w:t>FR-006: CCP Exposure Engine (CRE54)</w:t>
      </w:r>
    </w:p>
    <w:p w14:paraId="4DC570B0" w14:textId="77777777" w:rsidR="008A18DA" w:rsidRDefault="00000000">
      <w:pPr>
        <w:pStyle w:val="ListBullet"/>
        <w:spacing w:before="20" w:after="40"/>
        <w:ind w:left="720"/>
      </w:pPr>
      <w:r>
        <w:t>FR-007: Daily Risk Orchestrator (RBC20)</w:t>
      </w:r>
    </w:p>
    <w:p w14:paraId="2A80E79B" w14:textId="77777777" w:rsidR="008A18DA" w:rsidRDefault="00000000">
      <w:pPr>
        <w:pStyle w:val="ListBullet"/>
        <w:spacing w:before="20" w:after="40"/>
        <w:ind w:left="720"/>
      </w:pPr>
      <w:r>
        <w:t>FR-008: Market Data Integration</w:t>
      </w:r>
    </w:p>
    <w:p w14:paraId="2E41ECB7" w14:textId="77777777" w:rsidR="008A18DA" w:rsidRDefault="00000000">
      <w:pPr>
        <w:pStyle w:val="ListBullet"/>
        <w:spacing w:before="20" w:after="40"/>
        <w:ind w:left="720"/>
      </w:pPr>
      <w:r>
        <w:t>FR-009: Backtesting Framework (MAR99)</w:t>
      </w:r>
    </w:p>
    <w:p w14:paraId="3223064B" w14:textId="77777777" w:rsidR="008A18DA" w:rsidRDefault="00000000">
      <w:pPr>
        <w:pStyle w:val="ListBullet"/>
        <w:spacing w:before="20" w:after="40"/>
        <w:ind w:left="720"/>
      </w:pPr>
      <w:r>
        <w:t>FR-010: Interactive Dashboard</w:t>
      </w:r>
    </w:p>
    <w:p w14:paraId="04B52E9C" w14:textId="77777777" w:rsidR="008A18DA" w:rsidRDefault="00000000">
      <w:pPr>
        <w:pStyle w:val="ListBullet"/>
        <w:spacing w:before="20" w:after="40"/>
        <w:ind w:left="720"/>
      </w:pPr>
      <w:r>
        <w:t>FR-011: Audit Trail &amp; Compliance Reporting</w:t>
      </w:r>
    </w:p>
    <w:p w14:paraId="35C9D576" w14:textId="77777777" w:rsidR="008A18DA" w:rsidRDefault="00000000">
      <w:pPr>
        <w:pStyle w:val="ListNumber"/>
        <w:spacing w:before="20" w:after="40"/>
      </w:pPr>
      <w:r>
        <w:t>Business and Functional Workflow</w:t>
      </w:r>
    </w:p>
    <w:p w14:paraId="1B0EF1F3" w14:textId="77777777" w:rsidR="008A18DA" w:rsidRDefault="00000000">
      <w:pPr>
        <w:pStyle w:val="ListNumber"/>
        <w:spacing w:before="20" w:after="40"/>
      </w:pPr>
      <w:r>
        <w:t>System Architecture</w:t>
      </w:r>
    </w:p>
    <w:p w14:paraId="2764C834" w14:textId="77777777" w:rsidR="008A18DA" w:rsidRDefault="00000000">
      <w:pPr>
        <w:pStyle w:val="ListNumber"/>
        <w:spacing w:before="20" w:after="40"/>
      </w:pPr>
      <w:r>
        <w:lastRenderedPageBreak/>
        <w:t>Technical Design</w:t>
      </w:r>
    </w:p>
    <w:p w14:paraId="60612CF5" w14:textId="77777777" w:rsidR="008A18DA" w:rsidRDefault="00000000">
      <w:pPr>
        <w:pStyle w:val="ListNumber"/>
        <w:spacing w:before="20" w:after="40"/>
      </w:pPr>
      <w:r>
        <w:t>Appendix</w:t>
      </w:r>
    </w:p>
    <w:p w14:paraId="0B06AA71" w14:textId="77777777" w:rsidR="008A18DA" w:rsidRDefault="008A18DA">
      <w:pPr>
        <w:pBdr>
          <w:bottom w:val="single" w:sz="6" w:space="1" w:color="9B111E"/>
        </w:pBdr>
      </w:pPr>
    </w:p>
    <w:p w14:paraId="19C5790F" w14:textId="77777777" w:rsidR="008A18DA" w:rsidRDefault="008A18DA">
      <w:pPr>
        <w:pBdr>
          <w:bottom w:val="single" w:sz="6" w:space="1" w:color="9B111E"/>
        </w:pBdr>
      </w:pPr>
    </w:p>
    <w:p w14:paraId="47C1FD48" w14:textId="77777777" w:rsidR="008A18DA" w:rsidRDefault="00000000">
      <w:pPr>
        <w:pStyle w:val="Heading1"/>
      </w:pPr>
      <w:r>
        <w:t>2. PROJECT DESCRIPTION</w:t>
      </w:r>
    </w:p>
    <w:p w14:paraId="781E7BE9" w14:textId="77777777" w:rsidR="008A18DA" w:rsidRDefault="008A18DA">
      <w:pPr>
        <w:pBdr>
          <w:bottom w:val="single" w:sz="6" w:space="1" w:color="9B111E"/>
        </w:pBdr>
      </w:pPr>
    </w:p>
    <w:p w14:paraId="448481CB" w14:textId="77777777" w:rsidR="008A18DA" w:rsidRDefault="00000000">
      <w:pPr>
        <w:pStyle w:val="Heading2"/>
      </w:pPr>
      <w:r>
        <w:t>2.1 Overview</w:t>
      </w:r>
    </w:p>
    <w:p w14:paraId="2A743505" w14:textId="77777777" w:rsidR="008A18DA" w:rsidRDefault="00000000">
      <w:pPr>
        <w:spacing w:before="40" w:after="80"/>
      </w:pPr>
      <w:r>
        <w:rPr>
          <w:b/>
        </w:rPr>
        <w:t>PROMETHEUS</w:t>
      </w:r>
      <w:r>
        <w:t xml:space="preserve"> is an institutional-grade, production-ready regulatory capital management platform designed for banks and financial institutions operating under the Basel III/IV framework mandated by the Basel Committee on Banking Supervision (BCBS). The platform provides a fully integrated, end-to-end solution for calculating, validating, reporting, and auditing Risk-Weighted Assets (RWA) across all six regulatory capital components — Credit Risk, Counterparty Credit Risk, Market Risk, CVA Risk, CCP Exposure, and Operational Risk.</w:t>
      </w:r>
    </w:p>
    <w:p w14:paraId="4722C65A" w14:textId="77777777" w:rsidR="008A18DA" w:rsidRDefault="00000000">
      <w:pPr>
        <w:spacing w:before="40" w:after="80"/>
      </w:pPr>
      <w:r>
        <w:t>The system is implemented entirely in Python 3.11 and is optimised to run on commodity hardware (Apple MacBook Air M1, 8 GB RAM), demonstrating that regulatory-grade computations need not require multi-million-dollar vendor solutions. It is architected to scale to cloud deployment (Azure / AWS) as institutional demand grows.</w:t>
      </w:r>
    </w:p>
    <w:p w14:paraId="1C2033C1" w14:textId="77777777" w:rsidR="008A18DA" w:rsidRDefault="00000000">
      <w:pPr>
        <w:pStyle w:val="Heading2"/>
      </w:pPr>
      <w:r>
        <w:t>2.2 Platform Name and Significance</w:t>
      </w:r>
    </w:p>
    <w:p w14:paraId="1A6E2A6A" w14:textId="77777777" w:rsidR="008A18DA" w:rsidRDefault="00000000">
      <w:pPr>
        <w:spacing w:before="40" w:after="80"/>
      </w:pPr>
      <w:r>
        <w:t xml:space="preserve">The name </w:t>
      </w:r>
      <w:r>
        <w:rPr>
          <w:b/>
        </w:rPr>
        <w:t>PROMETHEUS</w:t>
      </w:r>
      <w:r>
        <w:t xml:space="preserve"> is a deliberate reference to the Titan of Greek mythology who brought fire — the instrument of knowledge and power — to humanity. In the context of this platform, PROMETHEUS brings the full illuminating power of Basel III/IV regulatory mathematics to risk teams, replacing opaque vendor black boxes and manual spreadsheets with an open, auditable, and fully documented calculation engine.</w:t>
      </w:r>
    </w:p>
    <w:p w14:paraId="0F5DD9EF" w14:textId="77777777" w:rsidR="008A18DA" w:rsidRDefault="00000000">
      <w:pPr>
        <w:pStyle w:val="Heading2"/>
      </w:pPr>
      <w:r>
        <w:t>2.3 Regulatory Basis</w:t>
      </w:r>
    </w:p>
    <w:p w14:paraId="1E7E6CDC" w14:textId="77777777" w:rsidR="008A18DA" w:rsidRDefault="00000000">
      <w:pPr>
        <w:spacing w:before="40" w:after="80"/>
      </w:pPr>
      <w:r>
        <w:t>PROMETHEUS is built directly from BCBS source standards with no ambiguity or proxy interpretation. Every formula, parameter, floor, and correlation coefficient implemented in the platform can be traced to a specific paragraph of a Basel standard.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A18DA" w14:paraId="2584C4DF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1E2A3A"/>
            <w:vAlign w:val="center"/>
          </w:tcPr>
          <w:p w14:paraId="7322EEE3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FFFFFF"/>
                <w:sz w:val="19"/>
              </w:rPr>
              <w:t>Engine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1E2A3A"/>
            <w:vAlign w:val="center"/>
          </w:tcPr>
          <w:p w14:paraId="1E3378CC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FFFFFF"/>
                <w:sz w:val="19"/>
              </w:rPr>
              <w:t>Basel Standard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1E2A3A"/>
            <w:vAlign w:val="center"/>
          </w:tcPr>
          <w:p w14:paraId="37ADE707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FFFFFF"/>
                <w:sz w:val="19"/>
              </w:rPr>
              <w:t>Scope</w:t>
            </w:r>
          </w:p>
        </w:tc>
      </w:tr>
      <w:tr w:rsidR="008A18DA" w14:paraId="6C552F15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718163DE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SA-CCR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0BE13915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CRE52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5A5790A7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Derivative Exposure at Default — all trades</w:t>
            </w:r>
          </w:p>
        </w:tc>
      </w:tr>
      <w:tr w:rsidR="008A18DA" w14:paraId="49FBA4B6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1AFC1F5C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IMM (Monte Carlo)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554BC118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CRE53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563BAA28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Effective EPE for eligible derivative trades</w:t>
            </w:r>
          </w:p>
        </w:tc>
      </w:tr>
      <w:tr w:rsidR="008A18DA" w14:paraId="37EDA82E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55EAAE56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A-IRB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272EF961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CRE30–36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5021B370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Banking Book RWA</w:t>
            </w:r>
          </w:p>
        </w:tc>
      </w:tr>
      <w:tr w:rsidR="008A18DA" w14:paraId="0DA1E246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3359B40B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FRTB SBM + IMA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135CE0D7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MAR20–33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6D2A5F96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Market Risk Capital</w:t>
            </w:r>
          </w:p>
        </w:tc>
      </w:tr>
      <w:tr w:rsidR="008A18DA" w14:paraId="373F722B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167256BF" w14:textId="77777777" w:rsidR="008A18DA" w:rsidRPr="0067037A" w:rsidRDefault="00000000">
            <w:pPr>
              <w:spacing w:before="40" w:after="40"/>
              <w:ind w:left="80"/>
              <w:rPr>
                <w:lang w:val="fr-FR"/>
              </w:rPr>
            </w:pPr>
            <w:r w:rsidRPr="0067037A">
              <w:rPr>
                <w:sz w:val="19"/>
                <w:lang w:val="fr-FR"/>
              </w:rPr>
              <w:t>CVA (BA-CVA / SA-CVA)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3B76A385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MAR50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516BFFC1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CVA Risk RWA</w:t>
            </w:r>
          </w:p>
        </w:tc>
      </w:tr>
      <w:tr w:rsidR="008A18DA" w14:paraId="661AA449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180BBA68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CCP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14FAF902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CRE54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7B2F714E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Cleared derivative exposure</w:t>
            </w:r>
          </w:p>
        </w:tc>
      </w:tr>
      <w:tr w:rsidR="008A18DA" w14:paraId="6AF00F02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271D7464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Five-Part RWA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3006DB13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RBC20.9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120F2AF7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Total Capital Aggregation</w:t>
            </w:r>
          </w:p>
        </w:tc>
      </w:tr>
      <w:tr w:rsidR="008A18DA" w14:paraId="2BBE503D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167CB24B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lastRenderedPageBreak/>
              <w:t>Output Floor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48D0B6BF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RBC20.11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09FF8C84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72.5% SA-based floor</w:t>
            </w:r>
          </w:p>
        </w:tc>
      </w:tr>
      <w:tr w:rsidR="008A18DA" w14:paraId="64562E14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3F18F50C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Operational Risk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3B7DB2BD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OPE25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603ECD48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Basic Indicator Approach (stub)</w:t>
            </w:r>
          </w:p>
        </w:tc>
      </w:tr>
      <w:tr w:rsidR="008A18DA" w14:paraId="1EEC6404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593296D2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Margins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04D0E32A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MGN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5CA772CF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CSA / IM / VM / MTA</w:t>
            </w:r>
          </w:p>
        </w:tc>
      </w:tr>
    </w:tbl>
    <w:p w14:paraId="6DC5A7BF" w14:textId="77777777" w:rsidR="008A18DA" w:rsidRDefault="008A18DA"/>
    <w:p w14:paraId="52C1305D" w14:textId="77777777" w:rsidR="008A18DA" w:rsidRDefault="00000000">
      <w:pPr>
        <w:pStyle w:val="Heading2"/>
      </w:pPr>
      <w:r>
        <w:t>2.4 Current State</w:t>
      </w:r>
    </w:p>
    <w:p w14:paraId="586941DD" w14:textId="77777777" w:rsidR="008A18DA" w:rsidRDefault="00000000">
      <w:pPr>
        <w:spacing w:before="40" w:after="80"/>
      </w:pPr>
      <w:r>
        <w:t>Sprint A is complete as of January 2025. The platform has achieved:</w:t>
      </w:r>
    </w:p>
    <w:p w14:paraId="5910B292" w14:textId="77777777" w:rsidR="008A18DA" w:rsidRDefault="00000000">
      <w:pPr>
        <w:pStyle w:val="ListBullet"/>
        <w:spacing w:before="20" w:after="40"/>
      </w:pPr>
      <w:r>
        <w:rPr>
          <w:b/>
          <w:color w:val="1E2A3A"/>
        </w:rPr>
        <w:t>100% regulatory engine coverage</w:t>
      </w:r>
      <w:r>
        <w:t xml:space="preserve"> across all six capital components</w:t>
      </w:r>
    </w:p>
    <w:p w14:paraId="709F6B78" w14:textId="77777777" w:rsidR="008A18DA" w:rsidRDefault="00000000">
      <w:pPr>
        <w:pStyle w:val="ListBullet"/>
        <w:spacing w:before="20" w:after="40"/>
      </w:pPr>
      <w:r>
        <w:rPr>
          <w:b/>
          <w:color w:val="1E2A3A"/>
        </w:rPr>
        <w:t>48/48 validation tests passing</w:t>
      </w:r>
      <w:r>
        <w:t xml:space="preserve"> at 100% pass rate</w:t>
      </w:r>
    </w:p>
    <w:p w14:paraId="2EEAD208" w14:textId="77777777" w:rsidR="008A18DA" w:rsidRDefault="00000000">
      <w:pPr>
        <w:pStyle w:val="ListBullet"/>
        <w:spacing w:before="20" w:after="40"/>
      </w:pPr>
      <w:r>
        <w:rPr>
          <w:b/>
          <w:color w:val="1E2A3A"/>
        </w:rPr>
        <w:t>Zero type errors</w:t>
      </w:r>
      <w:r>
        <w:t xml:space="preserve"> under Pylance strict mode</w:t>
      </w:r>
    </w:p>
    <w:p w14:paraId="018844EB" w14:textId="77777777" w:rsidR="008A18DA" w:rsidRDefault="00000000">
      <w:pPr>
        <w:pStyle w:val="ListBullet"/>
        <w:spacing w:before="20" w:after="40"/>
      </w:pPr>
      <w:r>
        <w:rPr>
          <w:b/>
          <w:color w:val="1E2A3A"/>
        </w:rPr>
        <w:t>~2-minute daily risk run</w:t>
      </w:r>
      <w:r>
        <w:t xml:space="preserve"> on M1 MacBook Air (vs. &lt;5-minute target)</w:t>
      </w:r>
    </w:p>
    <w:p w14:paraId="63C88DD6" w14:textId="77777777" w:rsidR="008A18DA" w:rsidRDefault="00000000">
      <w:pPr>
        <w:pStyle w:val="ListBullet"/>
        <w:spacing w:before="20" w:after="40"/>
      </w:pPr>
      <w:r>
        <w:rPr>
          <w:b/>
          <w:color w:val="1E2A3A"/>
        </w:rPr>
        <w:t>8-page interactive dashboard</w:t>
      </w:r>
      <w:r>
        <w:t xml:space="preserve"> with institutional-grade visualisation and export capabilities</w:t>
      </w:r>
    </w:p>
    <w:p w14:paraId="1FF639DD" w14:textId="77777777" w:rsidR="008A18DA" w:rsidRDefault="00000000">
      <w:pPr>
        <w:pStyle w:val="ListBullet"/>
        <w:spacing w:before="20" w:after="40"/>
      </w:pPr>
      <w:r>
        <w:rPr>
          <w:b/>
          <w:color w:val="1E2A3A"/>
        </w:rPr>
        <w:t>Full audit trail</w:t>
      </w:r>
      <w:r>
        <w:t xml:space="preserve"> with regulatory-traceable calculation logs</w:t>
      </w:r>
    </w:p>
    <w:p w14:paraId="4416A089" w14:textId="77777777" w:rsidR="008A18DA" w:rsidRDefault="008A18DA">
      <w:pPr>
        <w:pBdr>
          <w:bottom w:val="single" w:sz="6" w:space="1" w:color="9B111E"/>
        </w:pBdr>
      </w:pPr>
    </w:p>
    <w:p w14:paraId="33198C06" w14:textId="77777777" w:rsidR="008A18DA" w:rsidRDefault="00000000">
      <w:pPr>
        <w:pStyle w:val="Heading1"/>
      </w:pPr>
      <w:r>
        <w:t>3. PROJECT OBJECTIVE</w:t>
      </w:r>
    </w:p>
    <w:p w14:paraId="761D9D5D" w14:textId="77777777" w:rsidR="008A18DA" w:rsidRDefault="008A18DA">
      <w:pPr>
        <w:pBdr>
          <w:bottom w:val="single" w:sz="6" w:space="1" w:color="9B111E"/>
        </w:pBdr>
      </w:pPr>
    </w:p>
    <w:p w14:paraId="692AFB28" w14:textId="77777777" w:rsidR="008A18DA" w:rsidRDefault="00000000">
      <w:pPr>
        <w:pStyle w:val="Heading2"/>
      </w:pPr>
      <w:r>
        <w:t>3.1 Strategic Objectives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8A18DA" w14:paraId="441DAD6F" w14:textId="77777777">
        <w:trPr>
          <w:trHeight w:val="369"/>
        </w:trPr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1E2A3A"/>
            <w:vAlign w:val="center"/>
          </w:tcPr>
          <w:p w14:paraId="30F22FD5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1E2A3A"/>
            <w:vAlign w:val="center"/>
          </w:tcPr>
          <w:p w14:paraId="5621D359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FFFFFF"/>
                <w:sz w:val="19"/>
              </w:rPr>
              <w:t>Objective</w:t>
            </w:r>
          </w:p>
        </w:tc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1E2A3A"/>
            <w:vAlign w:val="center"/>
          </w:tcPr>
          <w:p w14:paraId="6AB5D66B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1E2A3A"/>
            <w:vAlign w:val="center"/>
          </w:tcPr>
          <w:p w14:paraId="5CEFC5F3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FFFFFF"/>
                <w:sz w:val="19"/>
              </w:rPr>
              <w:t>Target</w:t>
            </w:r>
          </w:p>
        </w:tc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1E2A3A"/>
            <w:vAlign w:val="center"/>
          </w:tcPr>
          <w:p w14:paraId="7589D783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 w:rsidR="008A18DA" w14:paraId="45F8887B" w14:textId="77777777">
        <w:trPr>
          <w:trHeight w:val="369"/>
        </w:trPr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419343EE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SO-1</w:t>
            </w:r>
          </w:p>
        </w:tc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49A1DBAD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Achieve 100% Basel III/IV regulatory coverage</w:t>
            </w:r>
          </w:p>
        </w:tc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617549FF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Coverage of BCBS standards</w:t>
            </w:r>
          </w:p>
        </w:tc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6BA4A6C8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100%</w:t>
            </w:r>
          </w:p>
        </w:tc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269F3D1F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✅ Achieved</w:t>
            </w:r>
          </w:p>
        </w:tc>
      </w:tr>
      <w:tr w:rsidR="008A18DA" w14:paraId="32FDD19B" w14:textId="77777777">
        <w:trPr>
          <w:trHeight w:val="369"/>
        </w:trPr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6A98B5B1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SO-2</w:t>
            </w:r>
          </w:p>
        </w:tc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7F7F2D6D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Deliver auditable, accurate capital calculations</w:t>
            </w:r>
          </w:p>
        </w:tc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4CFE9E8A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Test pass rate</w:t>
            </w:r>
          </w:p>
        </w:tc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5F14FC35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100%</w:t>
            </w:r>
          </w:p>
        </w:tc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431C628F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✅ 48/48</w:t>
            </w:r>
          </w:p>
        </w:tc>
      </w:tr>
      <w:tr w:rsidR="008A18DA" w14:paraId="5A84F37B" w14:textId="77777777">
        <w:trPr>
          <w:trHeight w:val="369"/>
        </w:trPr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4E5EEFFD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SO-3</w:t>
            </w:r>
          </w:p>
        </w:tc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2B299E18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Enable real-time daily risk runs</w:t>
            </w:r>
          </w:p>
        </w:tc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76A2C8BF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Completion time</w:t>
            </w:r>
          </w:p>
        </w:tc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5DFC32E8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&lt; 5 min</w:t>
            </w:r>
          </w:p>
        </w:tc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2F39E14C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✅ ~2 min</w:t>
            </w:r>
          </w:p>
        </w:tc>
      </w:tr>
      <w:tr w:rsidR="008A18DA" w14:paraId="19821F30" w14:textId="77777777">
        <w:trPr>
          <w:trHeight w:val="369"/>
        </w:trPr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397D8B7A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SO-4</w:t>
            </w:r>
          </w:p>
        </w:tc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205CA056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Reduce capital inefficiency via precise A-IRB and IMM</w:t>
            </w:r>
          </w:p>
        </w:tc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1C7FD4FE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RWA reduction vs. SA</w:t>
            </w:r>
          </w:p>
        </w:tc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6F1ACE44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20–35%</w:t>
            </w:r>
          </w:p>
        </w:tc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7267F72B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✅ Model ready</w:t>
            </w:r>
          </w:p>
        </w:tc>
      </w:tr>
      <w:tr w:rsidR="008A18DA" w14:paraId="23397FB9" w14:textId="77777777">
        <w:trPr>
          <w:trHeight w:val="369"/>
        </w:trPr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2FF343F0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SO-5</w:t>
            </w:r>
          </w:p>
        </w:tc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22821D50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Minimise infrastructure cost</w:t>
            </w:r>
          </w:p>
        </w:tc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74AB58B5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Annual infrastructure spend</w:t>
            </w:r>
          </w:p>
        </w:tc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6C76FF01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&lt; $5,000</w:t>
            </w:r>
          </w:p>
        </w:tc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2C21AEBE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✅ &lt; $1,000</w:t>
            </w:r>
          </w:p>
        </w:tc>
      </w:tr>
      <w:tr w:rsidR="008A18DA" w14:paraId="6DDEB32F" w14:textId="77777777">
        <w:trPr>
          <w:trHeight w:val="369"/>
        </w:trPr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6FE5A7BB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SO-6</w:t>
            </w:r>
          </w:p>
        </w:tc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5860B4BB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Ensure audit readiness</w:t>
            </w:r>
          </w:p>
        </w:tc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11025742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Regulatory exam prep time</w:t>
            </w:r>
          </w:p>
        </w:tc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21DA32FB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&lt; 1 week</w:t>
            </w:r>
          </w:p>
        </w:tc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4AE27CE8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✅ Instant exports</w:t>
            </w:r>
          </w:p>
        </w:tc>
      </w:tr>
    </w:tbl>
    <w:p w14:paraId="138D094A" w14:textId="77777777" w:rsidR="008A18DA" w:rsidRDefault="008A18DA"/>
    <w:p w14:paraId="24AA0F10" w14:textId="77777777" w:rsidR="008A18DA" w:rsidRDefault="00000000">
      <w:pPr>
        <w:pStyle w:val="Heading2"/>
      </w:pPr>
      <w:r>
        <w:lastRenderedPageBreak/>
        <w:t>3.2 Business Objectives</w:t>
      </w:r>
    </w:p>
    <w:p w14:paraId="2B108E9D" w14:textId="77777777" w:rsidR="008A18DA" w:rsidRDefault="00000000">
      <w:pPr>
        <w:pStyle w:val="ListNumber"/>
        <w:spacing w:before="20" w:after="40"/>
      </w:pPr>
      <w:r>
        <w:rPr>
          <w:b/>
          <w:color w:val="1E2A3A"/>
        </w:rPr>
        <w:t>Regulatory Compliance</w:t>
      </w:r>
      <w:r>
        <w:t xml:space="preserve"> — Eliminate the risk of non-compliance with BCBS standards, avoiding regulatory fines and sanctions by ensuring every RWA calculation is traceable to a specific Basel paragraph.</w:t>
      </w:r>
    </w:p>
    <w:p w14:paraId="353BE08C" w14:textId="77777777" w:rsidR="008A18DA" w:rsidRDefault="00000000">
      <w:pPr>
        <w:pStyle w:val="ListNumber"/>
        <w:spacing w:before="20" w:after="40"/>
      </w:pPr>
      <w:r>
        <w:rPr>
          <w:b/>
          <w:color w:val="1E2A3A"/>
        </w:rPr>
        <w:t>Capital Optimisation</w:t>
      </w:r>
      <w:r>
        <w:t xml:space="preserve"> — Replace conservative Standardised Approach (SA) capital estimates with precise Advanced Internal Ratings-Based (A-IRB) and Internal Models Method (IMM) calculations, reducing over-capitalisation and freeing capital for productive deployment.</w:t>
      </w:r>
    </w:p>
    <w:p w14:paraId="55222796" w14:textId="77777777" w:rsidR="008A18DA" w:rsidRDefault="00000000">
      <w:pPr>
        <w:pStyle w:val="ListNumber"/>
        <w:spacing w:before="20" w:after="40"/>
      </w:pPr>
      <w:r>
        <w:rPr>
          <w:b/>
          <w:color w:val="1E2A3A"/>
        </w:rPr>
        <w:t>Operational Risk Reduction</w:t>
      </w:r>
      <w:r>
        <w:t xml:space="preserve"> — Eliminate manual spreadsheet-based risk calculations prone to human error. Provide an automated, tested, and versioned calculation pipeline.</w:t>
      </w:r>
    </w:p>
    <w:p w14:paraId="1A557F55" w14:textId="77777777" w:rsidR="008A18DA" w:rsidRDefault="00000000">
      <w:pPr>
        <w:pStyle w:val="ListNumber"/>
        <w:spacing w:before="20" w:after="40"/>
      </w:pPr>
      <w:r>
        <w:rPr>
          <w:b/>
          <w:color w:val="1E2A3A"/>
        </w:rPr>
        <w:t>Transparency and Governance</w:t>
      </w:r>
      <w:r>
        <w:t xml:space="preserve"> — Provide complete audit trails for all calculations, method selection decisions (e.g., IMM vs. SA-CCR fallback), and regulatory floor applications, satisfying both internal governance and external regulatory examination requirements.</w:t>
      </w:r>
    </w:p>
    <w:p w14:paraId="5D02B18D" w14:textId="77777777" w:rsidR="008A18DA" w:rsidRDefault="00000000">
      <w:pPr>
        <w:pStyle w:val="ListNumber"/>
        <w:spacing w:before="20" w:after="40"/>
      </w:pPr>
      <w:r>
        <w:rPr>
          <w:b/>
          <w:color w:val="1E2A3A"/>
        </w:rPr>
        <w:t>Cost Efficiency</w:t>
      </w:r>
      <w:r>
        <w:t xml:space="preserve"> — Deliver enterprise-grade regulatory calculations at a fraction of the cost of commercial vendor solutions ($21K total vs. $100K–$500K/year for enterprise alternatives).</w:t>
      </w:r>
    </w:p>
    <w:p w14:paraId="4B62479D" w14:textId="77777777" w:rsidR="008A18DA" w:rsidRDefault="00000000">
      <w:pPr>
        <w:pStyle w:val="Heading2"/>
      </w:pPr>
      <w:r>
        <w:t>3.3 Functional Objectives</w:t>
      </w:r>
    </w:p>
    <w:p w14:paraId="14622043" w14:textId="77777777" w:rsidR="008A18DA" w:rsidRDefault="00000000">
      <w:pPr>
        <w:pStyle w:val="ListBullet"/>
        <w:spacing w:before="20" w:after="40"/>
      </w:pPr>
      <w:r>
        <w:t xml:space="preserve">Implement the complete </w:t>
      </w:r>
      <w:r>
        <w:rPr>
          <w:b/>
          <w:color w:val="1E2A3A"/>
        </w:rPr>
        <w:t>five-part RWA formula</w:t>
      </w:r>
      <w:r>
        <w:t xml:space="preserve"> (RBC20.9): Credit + CCR + Market + CVA + CCP + OpRisk</w:t>
      </w:r>
    </w:p>
    <w:p w14:paraId="137C7618" w14:textId="77777777" w:rsidR="008A18DA" w:rsidRDefault="00000000">
      <w:pPr>
        <w:pStyle w:val="ListBullet"/>
        <w:spacing w:before="20" w:after="40"/>
      </w:pPr>
      <w:r>
        <w:t xml:space="preserve">Implement the </w:t>
      </w:r>
      <w:r>
        <w:rPr>
          <w:b/>
          <w:color w:val="1E2A3A"/>
        </w:rPr>
        <w:t>output floor</w:t>
      </w:r>
      <w:r>
        <w:t xml:space="preserve"> (RBC20.11): Final RWA = max(Total RWA, 72.5% × SA-based RWA)</w:t>
      </w:r>
    </w:p>
    <w:p w14:paraId="28CB42B3" w14:textId="77777777" w:rsidR="008A18DA" w:rsidRDefault="00000000">
      <w:pPr>
        <w:pStyle w:val="ListBullet"/>
        <w:spacing w:before="20" w:after="40"/>
      </w:pPr>
      <w:r>
        <w:t xml:space="preserve">Provide </w:t>
      </w:r>
      <w:r>
        <w:rPr>
          <w:b/>
          <w:color w:val="1E2A3A"/>
        </w:rPr>
        <w:t>fallback logic</w:t>
      </w:r>
      <w:r>
        <w:t xml:space="preserve"> with full trace codes when IMM trades revert to SA-CCR or SA-CVA reverts to BA-CVA</w:t>
      </w:r>
    </w:p>
    <w:p w14:paraId="18CA878D" w14:textId="77777777" w:rsidR="008A18DA" w:rsidRDefault="00000000">
      <w:pPr>
        <w:pStyle w:val="ListBullet"/>
        <w:spacing w:before="20" w:after="40"/>
      </w:pPr>
      <w:r>
        <w:t xml:space="preserve">Enable </w:t>
      </w:r>
      <w:r>
        <w:rPr>
          <w:b/>
          <w:color w:val="1E2A3A"/>
        </w:rPr>
        <w:t>real-time market condition adjustments</w:t>
      </w:r>
      <w:r>
        <w:t xml:space="preserve"> to risk weights and correlations via pluggable market data feeds</w:t>
      </w:r>
    </w:p>
    <w:p w14:paraId="2CBEDA61" w14:textId="77777777" w:rsidR="008A18DA" w:rsidRDefault="00000000">
      <w:pPr>
        <w:pStyle w:val="ListBullet"/>
        <w:spacing w:before="20" w:after="40"/>
      </w:pPr>
      <w:r>
        <w:t xml:space="preserve">Deliver a </w:t>
      </w:r>
      <w:r>
        <w:rPr>
          <w:b/>
          <w:color w:val="1E2A3A"/>
        </w:rPr>
        <w:t>Streamlit-based interactive dashboard</w:t>
      </w:r>
      <w:r>
        <w:t xml:space="preserve"> for risk officers, with downloadable regulatory reports</w:t>
      </w:r>
    </w:p>
    <w:p w14:paraId="30CC90E2" w14:textId="77777777" w:rsidR="008A18DA" w:rsidRDefault="008A18DA">
      <w:pPr>
        <w:pBdr>
          <w:bottom w:val="single" w:sz="6" w:space="1" w:color="9B111E"/>
        </w:pBdr>
      </w:pPr>
    </w:p>
    <w:p w14:paraId="32DEF92E" w14:textId="77777777" w:rsidR="008A18DA" w:rsidRDefault="00000000">
      <w:pPr>
        <w:pStyle w:val="Heading1"/>
      </w:pPr>
      <w:r>
        <w:t>4. COMPONENTS IMPACTED</w:t>
      </w:r>
    </w:p>
    <w:p w14:paraId="2F0A33B4" w14:textId="77777777" w:rsidR="008A18DA" w:rsidRDefault="008A18DA">
      <w:pPr>
        <w:pBdr>
          <w:bottom w:val="single" w:sz="6" w:space="1" w:color="9B111E"/>
        </w:pBdr>
      </w:pPr>
    </w:p>
    <w:p w14:paraId="356E39A3" w14:textId="77777777" w:rsidR="008A18DA" w:rsidRDefault="00000000">
      <w:pPr>
        <w:pStyle w:val="Heading2"/>
      </w:pPr>
      <w:r>
        <w:t>4.1 Platform Components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6"/>
        <w:gridCol w:w="4989"/>
        <w:gridCol w:w="1381"/>
        <w:gridCol w:w="1181"/>
      </w:tblGrid>
      <w:tr w:rsidR="008A18DA" w14:paraId="281F2153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1E2A3A"/>
            <w:vAlign w:val="center"/>
          </w:tcPr>
          <w:p w14:paraId="60A5F35C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1E2A3A"/>
            <w:vAlign w:val="center"/>
          </w:tcPr>
          <w:p w14:paraId="597605C2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FFFFFF"/>
                <w:sz w:val="19"/>
              </w:rPr>
              <w:t>Module Path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1E2A3A"/>
            <w:vAlign w:val="center"/>
          </w:tcPr>
          <w:p w14:paraId="1FC7CE8D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1E2A3A"/>
            <w:vAlign w:val="center"/>
          </w:tcPr>
          <w:p w14:paraId="4F4BC05A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FFFFFF"/>
                <w:sz w:val="19"/>
              </w:rPr>
              <w:t>Impact Level</w:t>
            </w:r>
          </w:p>
        </w:tc>
      </w:tr>
      <w:tr w:rsidR="008A18DA" w14:paraId="2A54105E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4D4E44D1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SA-CCR Engine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4EB2F3B2" w14:textId="77777777" w:rsidR="008A18DA" w:rsidRDefault="00000000">
            <w:pPr>
              <w:spacing w:before="40" w:after="40"/>
              <w:ind w:left="80"/>
            </w:pPr>
            <w:r>
              <w:rPr>
                <w:rFonts w:ascii="Courier New" w:hAnsi="Courier New"/>
                <w:color w:val="C7254E"/>
                <w:sz w:val="17"/>
              </w:rPr>
              <w:t>backend/engines/sa_ccr.py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423BD179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Calculation Engine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0BDFF8AF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Core — Primary</w:t>
            </w:r>
          </w:p>
        </w:tc>
      </w:tr>
      <w:tr w:rsidR="008A18DA" w14:paraId="3101A4EA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7604A1DD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IMM Engine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2AC29293" w14:textId="77777777" w:rsidR="008A18DA" w:rsidRDefault="00000000">
            <w:pPr>
              <w:spacing w:before="40" w:after="40"/>
              <w:ind w:left="80"/>
            </w:pPr>
            <w:r>
              <w:rPr>
                <w:rFonts w:ascii="Courier New" w:hAnsi="Courier New"/>
                <w:color w:val="C7254E"/>
                <w:sz w:val="17"/>
              </w:rPr>
              <w:t>backend/engines/imm.py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057DCB7A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Calculation Engine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45F3B208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Core — Primary</w:t>
            </w:r>
          </w:p>
        </w:tc>
      </w:tr>
      <w:tr w:rsidR="008A18DA" w14:paraId="63E63418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27206DD7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A-IRB Engine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222299DD" w14:textId="77777777" w:rsidR="008A18DA" w:rsidRDefault="00000000">
            <w:pPr>
              <w:spacing w:before="40" w:after="40"/>
              <w:ind w:left="80"/>
            </w:pPr>
            <w:r>
              <w:rPr>
                <w:rFonts w:ascii="Courier New" w:hAnsi="Courier New"/>
                <w:color w:val="C7254E"/>
                <w:sz w:val="17"/>
              </w:rPr>
              <w:t>backend/engines/a_irb.py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24757513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Calculation Engine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49191FCF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Core — Primary</w:t>
            </w:r>
          </w:p>
        </w:tc>
      </w:tr>
      <w:tr w:rsidR="008A18DA" w14:paraId="2F79CCB7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11696C24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FRTB Engine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14665861" w14:textId="77777777" w:rsidR="008A18DA" w:rsidRDefault="00000000">
            <w:pPr>
              <w:spacing w:before="40" w:after="40"/>
              <w:ind w:left="80"/>
            </w:pPr>
            <w:r>
              <w:rPr>
                <w:rFonts w:ascii="Courier New" w:hAnsi="Courier New"/>
                <w:color w:val="C7254E"/>
                <w:sz w:val="17"/>
              </w:rPr>
              <w:t>backend/engines/frtb.py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355936AA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Calculation Engine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3A92DECA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Core — Primary</w:t>
            </w:r>
          </w:p>
        </w:tc>
      </w:tr>
      <w:tr w:rsidR="008A18DA" w14:paraId="79E3F34E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6EAF6072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CVA Engine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5913D8B1" w14:textId="77777777" w:rsidR="008A18DA" w:rsidRDefault="00000000">
            <w:pPr>
              <w:spacing w:before="40" w:after="40"/>
              <w:ind w:left="80"/>
            </w:pPr>
            <w:r>
              <w:rPr>
                <w:rFonts w:ascii="Courier New" w:hAnsi="Courier New"/>
                <w:color w:val="C7254E"/>
                <w:sz w:val="17"/>
              </w:rPr>
              <w:t>backend/engines/cva.py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696CF210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Calculation Engine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138F4202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Core — Primary</w:t>
            </w:r>
          </w:p>
        </w:tc>
      </w:tr>
      <w:tr w:rsidR="008A18DA" w14:paraId="5FC0BBC0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38F9FA76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lastRenderedPageBreak/>
              <w:t>CCP Engine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690A55C2" w14:textId="77777777" w:rsidR="008A18DA" w:rsidRDefault="00000000">
            <w:pPr>
              <w:spacing w:before="40" w:after="40"/>
              <w:ind w:left="80"/>
            </w:pPr>
            <w:r>
              <w:rPr>
                <w:rFonts w:ascii="Courier New" w:hAnsi="Courier New"/>
                <w:color w:val="C7254E"/>
                <w:sz w:val="17"/>
              </w:rPr>
              <w:t>backend/engines/ccp.py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4C88EBF6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Calculation Engine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3BD11934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Core — Primary</w:t>
            </w:r>
          </w:p>
        </w:tc>
      </w:tr>
      <w:tr w:rsidR="008A18DA" w14:paraId="66104999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7FEFA91C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Risk Orchestrator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28379ABF" w14:textId="77777777" w:rsidR="008A18DA" w:rsidRDefault="00000000">
            <w:pPr>
              <w:spacing w:before="40" w:after="40"/>
              <w:ind w:left="80"/>
            </w:pPr>
            <w:r>
              <w:rPr>
                <w:rFonts w:ascii="Courier New" w:hAnsi="Courier New"/>
                <w:color w:val="C7254E"/>
                <w:sz w:val="17"/>
              </w:rPr>
              <w:t>backend/main.py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783869B9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Application Controller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273CE455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Core — Primary</w:t>
            </w:r>
          </w:p>
        </w:tc>
      </w:tr>
      <w:tr w:rsidR="008A18DA" w14:paraId="296E5CB4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19E45FAE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Configuration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69375BAB" w14:textId="77777777" w:rsidR="008A18DA" w:rsidRDefault="00000000">
            <w:pPr>
              <w:spacing w:before="40" w:after="40"/>
              <w:ind w:left="80"/>
            </w:pPr>
            <w:r>
              <w:rPr>
                <w:rFonts w:ascii="Courier New" w:hAnsi="Courier New"/>
                <w:color w:val="C7254E"/>
                <w:sz w:val="17"/>
              </w:rPr>
              <w:t>backend/config.py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0BC49793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Configuration Module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0FF79DD3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Core — Supporting</w:t>
            </w:r>
          </w:p>
        </w:tc>
      </w:tr>
      <w:tr w:rsidR="008A18DA" w14:paraId="05440B98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09E72FF3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Portfolio Generator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0527267E" w14:textId="77777777" w:rsidR="008A18DA" w:rsidRDefault="00000000">
            <w:pPr>
              <w:spacing w:before="40" w:after="40"/>
              <w:ind w:left="80"/>
            </w:pPr>
            <w:r>
              <w:rPr>
                <w:rFonts w:ascii="Courier New" w:hAnsi="Courier New"/>
                <w:color w:val="C7254E"/>
                <w:sz w:val="17"/>
              </w:rPr>
              <w:t>backend/data_generators/portfolio_generator.py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49FC5F81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Data Generator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71E8A663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Supporting</w:t>
            </w:r>
          </w:p>
        </w:tc>
      </w:tr>
      <w:tr w:rsidR="008A18DA" w14:paraId="0BD622E0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1E7D81CA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CVA Generator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4FE8E55E" w14:textId="77777777" w:rsidR="008A18DA" w:rsidRDefault="00000000">
            <w:pPr>
              <w:spacing w:before="40" w:after="40"/>
              <w:ind w:left="80"/>
            </w:pPr>
            <w:r>
              <w:rPr>
                <w:rFonts w:ascii="Courier New" w:hAnsi="Courier New"/>
                <w:color w:val="C7254E"/>
                <w:sz w:val="17"/>
              </w:rPr>
              <w:t>backend/data_generators/cva_generator.py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34B42FD3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Data Generator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7F9B81F9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Supporting</w:t>
            </w:r>
          </w:p>
        </w:tc>
      </w:tr>
      <w:tr w:rsidR="008A18DA" w14:paraId="5B258B4D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310490C4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Market Data Provider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17327B2F" w14:textId="77777777" w:rsidR="008A18DA" w:rsidRDefault="00000000">
            <w:pPr>
              <w:spacing w:before="40" w:after="40"/>
              <w:ind w:left="80"/>
            </w:pPr>
            <w:r>
              <w:rPr>
                <w:rFonts w:ascii="Courier New" w:hAnsi="Courier New"/>
                <w:color w:val="C7254E"/>
                <w:sz w:val="17"/>
              </w:rPr>
              <w:t>backend/data_sources/market_data_provider.py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06AC7499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Data Source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2101BFBD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Supporting</w:t>
            </w:r>
          </w:p>
        </w:tc>
      </w:tr>
      <w:tr w:rsidR="008A18DA" w14:paraId="07252BBF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4A5DFA6A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CDS Spread Service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125C8E80" w14:textId="77777777" w:rsidR="008A18DA" w:rsidRDefault="00000000">
            <w:pPr>
              <w:spacing w:before="40" w:after="40"/>
              <w:ind w:left="80"/>
            </w:pPr>
            <w:r>
              <w:rPr>
                <w:rFonts w:ascii="Courier New" w:hAnsi="Courier New"/>
                <w:color w:val="C7254E"/>
                <w:sz w:val="17"/>
              </w:rPr>
              <w:t>backend/data_sources/cds_spread_service.py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03D37DC0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Data Source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638BD988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Supporting</w:t>
            </w:r>
          </w:p>
        </w:tc>
      </w:tr>
      <w:tr w:rsidR="008A18DA" w14:paraId="07062DFF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380C0319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Market State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3FDF9F36" w14:textId="77777777" w:rsidR="008A18DA" w:rsidRDefault="00000000">
            <w:pPr>
              <w:spacing w:before="40" w:after="40"/>
              <w:ind w:left="80"/>
            </w:pPr>
            <w:r>
              <w:rPr>
                <w:rFonts w:ascii="Courier New" w:hAnsi="Courier New"/>
                <w:color w:val="C7254E"/>
                <w:sz w:val="17"/>
              </w:rPr>
              <w:t>backend/data_sources/market_state.py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00EBBF40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Data Source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6F14AB8D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Supporting</w:t>
            </w:r>
          </w:p>
        </w:tc>
      </w:tr>
      <w:tr w:rsidR="008A18DA" w14:paraId="50681263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131F528D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Calibration Module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33AEA691" w14:textId="77777777" w:rsidR="008A18DA" w:rsidRDefault="00000000">
            <w:pPr>
              <w:spacing w:before="40" w:after="40"/>
              <w:ind w:left="80"/>
            </w:pPr>
            <w:r>
              <w:rPr>
                <w:rFonts w:ascii="Courier New" w:hAnsi="Courier New"/>
                <w:color w:val="C7254E"/>
                <w:sz w:val="17"/>
              </w:rPr>
              <w:t>backend/data_sources/calibration.py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4E38DD1F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Data Source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7687BCEF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Supporting</w:t>
            </w:r>
          </w:p>
        </w:tc>
      </w:tr>
      <w:tr w:rsidR="008A18DA" w14:paraId="22BC9303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439639A7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Persistence Module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752EA5C3" w14:textId="77777777" w:rsidR="008A18DA" w:rsidRDefault="00000000">
            <w:pPr>
              <w:spacing w:before="40" w:after="40"/>
              <w:ind w:left="80"/>
            </w:pPr>
            <w:r>
              <w:rPr>
                <w:rFonts w:ascii="Courier New" w:hAnsi="Courier New"/>
                <w:color w:val="C7254E"/>
                <w:sz w:val="17"/>
              </w:rPr>
              <w:t>backend/data_sources/persistence.py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199A31D6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Data Persistence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4B76AC4B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Supporting</w:t>
            </w:r>
          </w:p>
        </w:tc>
      </w:tr>
      <w:tr w:rsidR="008A18DA" w14:paraId="48820577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3760A4CB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Streamlit Dashboard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119EDD42" w14:textId="77777777" w:rsidR="008A18DA" w:rsidRDefault="00000000">
            <w:pPr>
              <w:spacing w:before="40" w:after="40"/>
              <w:ind w:left="80"/>
            </w:pPr>
            <w:r>
              <w:rPr>
                <w:rFonts w:ascii="Courier New" w:hAnsi="Courier New"/>
                <w:color w:val="C7254E"/>
                <w:sz w:val="17"/>
              </w:rPr>
              <w:t>dashboard/app.py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169AFAD4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Presentation Layer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5295664A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User-Facing</w:t>
            </w:r>
          </w:p>
        </w:tc>
      </w:tr>
      <w:tr w:rsidR="008A18DA" w14:paraId="037627DC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3F18853D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Test Suite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2ABC5B4A" w14:textId="77777777" w:rsidR="008A18DA" w:rsidRDefault="00000000">
            <w:pPr>
              <w:spacing w:before="40" w:after="40"/>
              <w:ind w:left="80"/>
            </w:pPr>
            <w:r>
              <w:rPr>
                <w:rFonts w:ascii="Courier New" w:hAnsi="Courier New"/>
                <w:color w:val="C7254E"/>
                <w:sz w:val="17"/>
              </w:rPr>
              <w:t>tests/test_engines.py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1706EF77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Quality Assurance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001D69F2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Validation</w:t>
            </w:r>
          </w:p>
        </w:tc>
      </w:tr>
    </w:tbl>
    <w:p w14:paraId="66E3C636" w14:textId="77777777" w:rsidR="008A18DA" w:rsidRDefault="008A18DA"/>
    <w:p w14:paraId="4B380308" w14:textId="77777777" w:rsidR="008A18DA" w:rsidRDefault="00000000">
      <w:pPr>
        <w:pStyle w:val="Heading2"/>
      </w:pPr>
      <w:r>
        <w:t>4.2 Infrastructure Components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A18DA" w14:paraId="49C7168F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1E2A3A"/>
            <w:vAlign w:val="center"/>
          </w:tcPr>
          <w:p w14:paraId="3ED935CE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1E2A3A"/>
            <w:vAlign w:val="center"/>
          </w:tcPr>
          <w:p w14:paraId="2DF1E8E4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FFFFFF"/>
                <w:sz w:val="19"/>
              </w:rPr>
              <w:t>Technology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1E2A3A"/>
            <w:vAlign w:val="center"/>
          </w:tcPr>
          <w:p w14:paraId="3480507D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1E2A3A"/>
            <w:vAlign w:val="center"/>
          </w:tcPr>
          <w:p w14:paraId="399CA733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FFFFFF"/>
                <w:sz w:val="19"/>
              </w:rPr>
              <w:t>Impact Level</w:t>
            </w:r>
          </w:p>
        </w:tc>
      </w:tr>
      <w:tr w:rsidR="008A18DA" w14:paraId="6CBEAF82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75B94D47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Database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60D69B1F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PostgreSQL 15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2409D78B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15.x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289EBCD3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Core — Primary</w:t>
            </w:r>
          </w:p>
        </w:tc>
      </w:tr>
      <w:tr w:rsidR="008A18DA" w14:paraId="7E0F4ED9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6A600BA7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Container Runtime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01AC086C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Docker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3FCBC949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24.0+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07F5DC41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Infrastructure</w:t>
            </w:r>
          </w:p>
        </w:tc>
      </w:tr>
      <w:tr w:rsidR="008A18DA" w14:paraId="3AAE5F13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2C50E59A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Python Runtime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368507B5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CPython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28857E87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3.11+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2453B75E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Core — Primary</w:t>
            </w:r>
          </w:p>
        </w:tc>
      </w:tr>
      <w:tr w:rsidR="008A18DA" w14:paraId="44DC1EF9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4E823225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Dashboard Server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73CA91E6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Streamlit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3D4C2A4D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1.28+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2DFFAEA8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User-Facing</w:t>
            </w:r>
          </w:p>
        </w:tc>
      </w:tr>
    </w:tbl>
    <w:p w14:paraId="4B9D1C49" w14:textId="77777777" w:rsidR="008A18DA" w:rsidRDefault="008A18DA"/>
    <w:p w14:paraId="6552F096" w14:textId="77777777" w:rsidR="008A18DA" w:rsidRDefault="00000000">
      <w:pPr>
        <w:pStyle w:val="Heading2"/>
      </w:pPr>
      <w:r>
        <w:t>4.3 Database Schemas Impacted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A18DA" w14:paraId="554DAC65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1E2A3A"/>
            <w:vAlign w:val="center"/>
          </w:tcPr>
          <w:p w14:paraId="39E4A30D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FFFFFF"/>
                <w:sz w:val="19"/>
              </w:rPr>
              <w:t>Schema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1E2A3A"/>
            <w:vAlign w:val="center"/>
          </w:tcPr>
          <w:p w14:paraId="13500D88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FFFFFF"/>
                <w:sz w:val="19"/>
              </w:rPr>
              <w:t>Purpose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1E2A3A"/>
            <w:vAlign w:val="center"/>
          </w:tcPr>
          <w:p w14:paraId="0123CBCA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FFFFFF"/>
                <w:sz w:val="19"/>
              </w:rPr>
              <w:t>Tables Count</w:t>
            </w:r>
          </w:p>
        </w:tc>
      </w:tr>
      <w:tr w:rsidR="008A18DA" w14:paraId="05357F20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1FDB7862" w14:textId="77777777" w:rsidR="008A18DA" w:rsidRDefault="00000000">
            <w:pPr>
              <w:spacing w:before="40" w:after="40"/>
              <w:ind w:left="80"/>
            </w:pPr>
            <w:r>
              <w:rPr>
                <w:rFonts w:ascii="Courier New" w:hAnsi="Courier New"/>
                <w:color w:val="C7254E"/>
                <w:sz w:val="17"/>
              </w:rPr>
              <w:t>risk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41A616CD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Portfolio, trade, netting-set, RWA results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1BC59017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5</w:t>
            </w:r>
          </w:p>
        </w:tc>
      </w:tr>
      <w:tr w:rsidR="008A18DA" w14:paraId="366D6638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705AAE03" w14:textId="77777777" w:rsidR="008A18DA" w:rsidRDefault="00000000">
            <w:pPr>
              <w:spacing w:before="40" w:after="40"/>
              <w:ind w:left="80"/>
            </w:pPr>
            <w:r>
              <w:rPr>
                <w:rFonts w:ascii="Courier New" w:hAnsi="Courier New"/>
                <w:color w:val="C7254E"/>
                <w:sz w:val="17"/>
              </w:rPr>
              <w:t>market_data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61D29C8D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Yield curves, FX, vol surfaces, CDS spreads, correlations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67CCC9FA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5</w:t>
            </w:r>
          </w:p>
        </w:tc>
      </w:tr>
      <w:tr w:rsidR="008A18DA" w14:paraId="27882938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1DF7497D" w14:textId="77777777" w:rsidR="008A18DA" w:rsidRDefault="00000000">
            <w:pPr>
              <w:spacing w:before="40" w:after="40"/>
              <w:ind w:left="80"/>
            </w:pPr>
            <w:r>
              <w:rPr>
                <w:rFonts w:ascii="Courier New" w:hAnsi="Courier New"/>
                <w:color w:val="C7254E"/>
                <w:sz w:val="17"/>
              </w:rPr>
              <w:t>reference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32CAFD67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Counterparties, risk limits, regulatory parameters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30682CB7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3</w:t>
            </w:r>
          </w:p>
        </w:tc>
      </w:tr>
      <w:tr w:rsidR="008A18DA" w14:paraId="30079D08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2DA220C9" w14:textId="77777777" w:rsidR="008A18DA" w:rsidRDefault="00000000">
            <w:pPr>
              <w:spacing w:before="40" w:after="40"/>
              <w:ind w:left="80"/>
            </w:pPr>
            <w:r>
              <w:rPr>
                <w:rFonts w:ascii="Courier New" w:hAnsi="Courier New"/>
                <w:color w:val="C7254E"/>
                <w:sz w:val="17"/>
              </w:rPr>
              <w:t>audit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3FD097E3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Run logs, calculation traces, breach alerts, user actions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405FA346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4</w:t>
            </w:r>
          </w:p>
        </w:tc>
      </w:tr>
    </w:tbl>
    <w:p w14:paraId="2F200543" w14:textId="77777777" w:rsidR="008A18DA" w:rsidRDefault="008A18DA"/>
    <w:p w14:paraId="7A76AE82" w14:textId="77777777" w:rsidR="008A18DA" w:rsidRDefault="008A18DA">
      <w:pPr>
        <w:pBdr>
          <w:bottom w:val="single" w:sz="6" w:space="1" w:color="9B111E"/>
        </w:pBdr>
      </w:pPr>
    </w:p>
    <w:p w14:paraId="3611A2E5" w14:textId="77777777" w:rsidR="008A18DA" w:rsidRDefault="00000000">
      <w:pPr>
        <w:pStyle w:val="Heading1"/>
      </w:pPr>
      <w:r>
        <w:lastRenderedPageBreak/>
        <w:t>5. UPSTREAM DEPENDENCIES</w:t>
      </w:r>
    </w:p>
    <w:p w14:paraId="5DA2F3CC" w14:textId="77777777" w:rsidR="008A18DA" w:rsidRDefault="008A18DA">
      <w:pPr>
        <w:pBdr>
          <w:bottom w:val="single" w:sz="6" w:space="1" w:color="9B111E"/>
        </w:pBdr>
      </w:pPr>
    </w:p>
    <w:p w14:paraId="4F6FB353" w14:textId="77777777" w:rsidR="008A18DA" w:rsidRDefault="00000000">
      <w:pPr>
        <w:spacing w:before="40" w:after="80"/>
      </w:pPr>
      <w:r>
        <w:t>Upstream dependencies are inputs and services that PROMETHEUS consumes in order to execute its calculations. A failure or data quality issue in any upstream dependency may degrade calculation accuracy.</w:t>
      </w:r>
    </w:p>
    <w:p w14:paraId="0B3F454E" w14:textId="77777777" w:rsidR="008A18DA" w:rsidRDefault="00000000">
      <w:pPr>
        <w:pStyle w:val="Heading2"/>
      </w:pPr>
      <w:r>
        <w:t>5.1 Market Data Feeds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A18DA" w14:paraId="32C7B2C0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1E2A3A"/>
            <w:vAlign w:val="center"/>
          </w:tcPr>
          <w:p w14:paraId="1552861F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FFFFFF"/>
                <w:sz w:val="19"/>
              </w:rPr>
              <w:t>Dependency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1E2A3A"/>
            <w:vAlign w:val="center"/>
          </w:tcPr>
          <w:p w14:paraId="19F0235D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FFFFFF"/>
                <w:sz w:val="19"/>
              </w:rPr>
              <w:t>Provider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1E2A3A"/>
            <w:vAlign w:val="center"/>
          </w:tcPr>
          <w:p w14:paraId="2C8960EE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FFFFFF"/>
                <w:sz w:val="19"/>
              </w:rPr>
              <w:t>Data Supplied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1E2A3A"/>
            <w:vAlign w:val="center"/>
          </w:tcPr>
          <w:p w14:paraId="2D586281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FFFFFF"/>
                <w:sz w:val="19"/>
              </w:rPr>
              <w:t>Fallback</w:t>
            </w:r>
          </w:p>
        </w:tc>
      </w:tr>
      <w:tr w:rsidR="008A18DA" w14:paraId="5902600F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322138F5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Bloomberg Terminal API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3F92D43D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Bloomberg LP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7EE4FBB4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CDS spreads, yield curves, volatility surfaces, FX rates, VIX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31991689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Refinitiv or internal feed</w:t>
            </w:r>
          </w:p>
        </w:tc>
      </w:tr>
      <w:tr w:rsidR="008A18DA" w14:paraId="4D3299DD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4B2BF491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Refinitiv / LSEG Eikon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705245B3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LSEG (London Stock Exchange Group)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1F48DADE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CDS spreads (RIC codes), OIS rates, equity prices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49012D45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Internal feed or static test data</w:t>
            </w:r>
          </w:p>
        </w:tc>
      </w:tr>
      <w:tr w:rsidR="008A18DA" w14:paraId="53348BBA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29459F69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Internal Proprietary Feed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6F0136BD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Bank's own market risk systems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1C9DE853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Calibrated volatilities, correlation matrices, scenario inputs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70E66EC6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 xml:space="preserve">Static defaults in </w:t>
            </w:r>
            <w:r>
              <w:rPr>
                <w:rFonts w:ascii="Courier New" w:hAnsi="Courier New"/>
                <w:color w:val="C7254E"/>
                <w:sz w:val="17"/>
              </w:rPr>
              <w:t>config.py</w:t>
            </w:r>
          </w:p>
        </w:tc>
      </w:tr>
      <w:tr w:rsidR="008A18DA" w14:paraId="51D2E174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21E14AB2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FRED Public API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5AFB4642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Federal Reserve Bank of St. Louis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74C349A2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SOFR, IG/HY OAS indices (BAMLC0A0CM, BAMLH0A0HYM2, VIXCLS)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02ECCF21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 xml:space="preserve">Hard-coded defaults in </w:t>
            </w:r>
            <w:r>
              <w:rPr>
                <w:rFonts w:ascii="Courier New" w:hAnsi="Courier New"/>
                <w:color w:val="C7254E"/>
                <w:sz w:val="17"/>
              </w:rPr>
              <w:t>CVAMarketDataFeed</w:t>
            </w:r>
          </w:p>
        </w:tc>
      </w:tr>
    </w:tbl>
    <w:p w14:paraId="22200F63" w14:textId="77777777" w:rsidR="008A18DA" w:rsidRDefault="008A18DA"/>
    <w:p w14:paraId="42FB1731" w14:textId="77777777" w:rsidR="008A18DA" w:rsidRDefault="00000000">
      <w:pPr>
        <w:pStyle w:val="Heading3"/>
      </w:pPr>
      <w:r>
        <w:t>5.1.1 Market Data Cascade Logic</w:t>
      </w:r>
    </w:p>
    <w:p w14:paraId="35B57E8E" w14:textId="77777777" w:rsidR="008A18DA" w:rsidRDefault="00000000">
      <w:pPr>
        <w:spacing w:before="40" w:after="80"/>
      </w:pPr>
      <w:r>
        <w:t>The platform implements a three-tier fallback cascade to ensure availability:</w:t>
      </w:r>
    </w:p>
    <w:p w14:paraId="0EC4D991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Tier 1 (Primary):    Bloomberg Terminal  →  Live CDS spreads, vol surfaces</w:t>
      </w:r>
    </w:p>
    <w:p w14:paraId="30DB4A32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Tier 2 (Fallback):   Refinitiv / Internal Feed  →  Previous-day or interpolated data</w:t>
      </w:r>
    </w:p>
    <w:p w14:paraId="67BA34AE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Tier 3 (Last Resort): Static Test Data   →  Hardcoded representative values from config</w:t>
      </w:r>
    </w:p>
    <w:p w14:paraId="6D83F337" w14:textId="77777777" w:rsidR="008A18DA" w:rsidRDefault="008A18DA">
      <w:pPr>
        <w:spacing w:after="80"/>
      </w:pPr>
    </w:p>
    <w:p w14:paraId="7A16766B" w14:textId="77777777" w:rsidR="008A18DA" w:rsidRDefault="00000000">
      <w:pPr>
        <w:spacing w:before="40" w:after="80"/>
      </w:pPr>
      <w:r>
        <w:t xml:space="preserve">A cache with configurable TTL (default: 300 seconds) is maintained in memory to reduce API call frequency. The cache is implemented in </w:t>
      </w:r>
      <w:r>
        <w:rPr>
          <w:rFonts w:ascii="Courier New" w:hAnsi="Courier New"/>
        </w:rPr>
        <w:t>MarketDataProvider._cache</w:t>
      </w:r>
      <w:r>
        <w:t xml:space="preserve"> and </w:t>
      </w:r>
      <w:r>
        <w:rPr>
          <w:rFonts w:ascii="Courier New" w:hAnsi="Courier New"/>
        </w:rPr>
        <w:t>CDSSpreadService</w:t>
      </w:r>
      <w:r>
        <w:t>.</w:t>
      </w:r>
    </w:p>
    <w:p w14:paraId="4AC9E739" w14:textId="77777777" w:rsidR="008A18DA" w:rsidRDefault="00000000">
      <w:pPr>
        <w:pStyle w:val="Heading2"/>
      </w:pPr>
      <w:r>
        <w:t>5.2 Trade and Portfolio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2"/>
        <w:gridCol w:w="2070"/>
        <w:gridCol w:w="2070"/>
        <w:gridCol w:w="2745"/>
      </w:tblGrid>
      <w:tr w:rsidR="008A18DA" w14:paraId="595032C6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1E2A3A"/>
            <w:vAlign w:val="center"/>
          </w:tcPr>
          <w:p w14:paraId="3EB85564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FFFFFF"/>
                <w:sz w:val="19"/>
              </w:rPr>
              <w:t>Dependency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1E2A3A"/>
            <w:vAlign w:val="center"/>
          </w:tcPr>
          <w:p w14:paraId="40B0B572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FFFFFF"/>
                <w:sz w:val="19"/>
              </w:rPr>
              <w:t>Source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1E2A3A"/>
            <w:vAlign w:val="center"/>
          </w:tcPr>
          <w:p w14:paraId="562DA144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FFFFFF"/>
                <w:sz w:val="19"/>
              </w:rPr>
              <w:t>Data Supplied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1E2A3A"/>
            <w:vAlign w:val="center"/>
          </w:tcPr>
          <w:p w14:paraId="2F909927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FFFFFF"/>
                <w:sz w:val="19"/>
              </w:rPr>
              <w:t>Interface</w:t>
            </w:r>
          </w:p>
        </w:tc>
      </w:tr>
      <w:tr w:rsidR="008A18DA" w14:paraId="589DE2F4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74B8CC50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Trade Booking Systems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708318F6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Front-office OMS / TMS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706197F7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Trade attributes (notional, maturity, asset class, MTM)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6B0FCFA5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 xml:space="preserve">PostgreSQL → </w:t>
            </w:r>
            <w:r>
              <w:rPr>
                <w:rFonts w:ascii="Courier New" w:hAnsi="Courier New"/>
                <w:color w:val="C7254E"/>
                <w:sz w:val="17"/>
              </w:rPr>
              <w:t>risk.trades</w:t>
            </w:r>
          </w:p>
        </w:tc>
      </w:tr>
      <w:tr w:rsidR="008A18DA" w14:paraId="062AF85B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3C1887C7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Netting Set Definitions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141DAEAB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Collateral management system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51C293A3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CSA parameters (IM, VM, Threshold, MTA, MPOR)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30A6B2ED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 xml:space="preserve">PostgreSQL → </w:t>
            </w:r>
            <w:r>
              <w:rPr>
                <w:rFonts w:ascii="Courier New" w:hAnsi="Courier New"/>
                <w:color w:val="C7254E"/>
                <w:sz w:val="17"/>
              </w:rPr>
              <w:t>risk.netting_sets</w:t>
            </w:r>
          </w:p>
        </w:tc>
      </w:tr>
      <w:tr w:rsidR="008A18DA" w14:paraId="2F1031A7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39866EC3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Banking Book Exposures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7553EF0D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Credit system / loan origination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3006B91D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EAD, PD, LGD, M, collateral values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0CF85CE3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 xml:space="preserve">PostgreSQL → </w:t>
            </w:r>
            <w:r>
              <w:rPr>
                <w:rFonts w:ascii="Courier New" w:hAnsi="Courier New"/>
                <w:color w:val="C7254E"/>
                <w:sz w:val="17"/>
              </w:rPr>
              <w:t>risk.exposures</w:t>
            </w:r>
          </w:p>
        </w:tc>
      </w:tr>
      <w:tr w:rsidR="008A18DA" w14:paraId="299A0B00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1B4DAE8F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 xml:space="preserve">Counterparty </w:t>
            </w:r>
            <w:r>
              <w:rPr>
                <w:b/>
                <w:color w:val="1E2A3A"/>
                <w:sz w:val="19"/>
              </w:rPr>
              <w:lastRenderedPageBreak/>
              <w:t>Reference Data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0E2E6417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lastRenderedPageBreak/>
              <w:t>CRM / KYC system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24C28C6A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 xml:space="preserve">Counterparty IDs, </w:t>
            </w:r>
            <w:r>
              <w:rPr>
                <w:sz w:val="19"/>
              </w:rPr>
              <w:lastRenderedPageBreak/>
              <w:t>ratings, sector classification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569191FA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lastRenderedPageBreak/>
              <w:t xml:space="preserve">PostgreSQL → </w:t>
            </w:r>
            <w:r>
              <w:rPr>
                <w:rFonts w:ascii="Courier New" w:hAnsi="Courier New"/>
                <w:color w:val="C7254E"/>
                <w:sz w:val="17"/>
              </w:rPr>
              <w:lastRenderedPageBreak/>
              <w:t>reference.counterparties</w:t>
            </w:r>
          </w:p>
        </w:tc>
      </w:tr>
    </w:tbl>
    <w:p w14:paraId="15A4B70D" w14:textId="77777777" w:rsidR="008A18DA" w:rsidRDefault="008A18DA"/>
    <w:p w14:paraId="6B0F1C1A" w14:textId="77777777" w:rsidR="008A18DA" w:rsidRDefault="00000000">
      <w:pPr>
        <w:spacing w:before="40" w:after="80"/>
      </w:pPr>
      <w:r>
        <w:rPr>
          <w:i/>
        </w:rPr>
        <w:t>In the current Sprint A development environment, trade and portfolio data are synthetically generated by `backend/data_generators/portfolio_generator.py` and `backend/data_generators/cva_generator.py`.</w:t>
      </w:r>
    </w:p>
    <w:p w14:paraId="3DB5FBFE" w14:textId="77777777" w:rsidR="008A18DA" w:rsidRDefault="00000000">
      <w:pPr>
        <w:pStyle w:val="Heading2"/>
      </w:pPr>
      <w:r>
        <w:t>5.3 Regulatory Parameter Updates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A18DA" w14:paraId="1D42ABBA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1E2A3A"/>
            <w:vAlign w:val="center"/>
          </w:tcPr>
          <w:p w14:paraId="0991245B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FFFFFF"/>
                <w:sz w:val="19"/>
              </w:rPr>
              <w:t>Dependency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1E2A3A"/>
            <w:vAlign w:val="center"/>
          </w:tcPr>
          <w:p w14:paraId="202C6BCF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FFFFFF"/>
                <w:sz w:val="19"/>
              </w:rPr>
              <w:t>Source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1E2A3A"/>
            <w:vAlign w:val="center"/>
          </w:tcPr>
          <w:p w14:paraId="6330B93E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FFFFFF"/>
                <w:sz w:val="19"/>
              </w:rPr>
              <w:t>Data Supplied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1E2A3A"/>
            <w:vAlign w:val="center"/>
          </w:tcPr>
          <w:p w14:paraId="5F3F5F94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FFFFFF"/>
                <w:sz w:val="19"/>
              </w:rPr>
              <w:t>Frequency</w:t>
            </w:r>
          </w:p>
        </w:tc>
      </w:tr>
      <w:tr w:rsidR="008A18DA" w14:paraId="62A99F25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21C2B4D2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BCBS Standards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459FA33F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BIS.org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18468241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SA-CCR supervisory factors, A-IRB correlation parameters, FRTB risk weights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63FFAD56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As published (typically annually)</w:t>
            </w:r>
          </w:p>
        </w:tc>
      </w:tr>
      <w:tr w:rsidR="008A18DA" w14:paraId="4E2F090E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204B45A8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Local Regulatory Guidance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02BBF123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Central Bank / Prudential Regulator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7F1E7A8B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Jurisdiction-specific floors, add-ons, or transition provisions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4F50147E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Ongoing</w:t>
            </w:r>
          </w:p>
        </w:tc>
      </w:tr>
      <w:tr w:rsidR="008A18DA" w14:paraId="6CEA1D53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7D7B2B69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SA-CVA Approval Flag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793D465D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Regulatory supervisor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3EC15B4A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Whether the institution is approved for SA-CVA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1AD80951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Event-driven</w:t>
            </w:r>
          </w:p>
        </w:tc>
      </w:tr>
      <w:tr w:rsidR="008A18DA" w14:paraId="0DC11F2E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6C73DC21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IMA Approval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33D0DC3E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Internal model validation / supervisor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6E9E12E8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Whether trading desks are approved for IMA usage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41484D0F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Event-driven</w:t>
            </w:r>
          </w:p>
        </w:tc>
      </w:tr>
    </w:tbl>
    <w:p w14:paraId="44D5DC50" w14:textId="77777777" w:rsidR="008A18DA" w:rsidRDefault="008A18DA"/>
    <w:p w14:paraId="5B71B02B" w14:textId="77777777" w:rsidR="008A18DA" w:rsidRDefault="00000000">
      <w:pPr>
        <w:pStyle w:val="Heading2"/>
      </w:pPr>
      <w:r>
        <w:t>5.4 Calibration Inputs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A18DA" w14:paraId="7CF3B23F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1E2A3A"/>
            <w:vAlign w:val="center"/>
          </w:tcPr>
          <w:p w14:paraId="338049EC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FFFFFF"/>
                <w:sz w:val="19"/>
              </w:rPr>
              <w:t>Dependency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1E2A3A"/>
            <w:vAlign w:val="center"/>
          </w:tcPr>
          <w:p w14:paraId="5BA0B694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FFFFFF"/>
                <w:sz w:val="19"/>
              </w:rPr>
              <w:t>Source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1E2A3A"/>
            <w:vAlign w:val="center"/>
          </w:tcPr>
          <w:p w14:paraId="3F892F6C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FFFFFF"/>
                <w:sz w:val="19"/>
              </w:rPr>
              <w:t>Data Supplied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1E2A3A"/>
            <w:vAlign w:val="center"/>
          </w:tcPr>
          <w:p w14:paraId="0CED0C0B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FFFFFF"/>
                <w:sz w:val="19"/>
              </w:rPr>
              <w:t>Frequency</w:t>
            </w:r>
          </w:p>
        </w:tc>
      </w:tr>
      <w:tr w:rsidR="008A18DA" w14:paraId="6F9CE53F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2C0A1A31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Historical Price Series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1A9B94A8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Market data archive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5DA2B61D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252-day lookback for volatility calibration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46316282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Daily</w:t>
            </w:r>
          </w:p>
        </w:tc>
      </w:tr>
      <w:tr w:rsidR="008A18DA" w14:paraId="25024118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7113A1C9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Stressed Period Data (2007–09)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19329E9F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Historical archive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45FC0451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Stressed volatilities for ES calibration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703E66FF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Static; refreshed on model review</w:t>
            </w:r>
          </w:p>
        </w:tc>
      </w:tr>
      <w:tr w:rsidR="008A18DA" w14:paraId="0ECD5A19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62880451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Macroeconomic Factors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171A8606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Central bank / Bloomberg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6F944B8D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VIX, yield curve slope, HY spreads, unemployment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272342FB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Daily (for market regime classification)</w:t>
            </w:r>
          </w:p>
        </w:tc>
      </w:tr>
    </w:tbl>
    <w:p w14:paraId="77062C6C" w14:textId="77777777" w:rsidR="008A18DA" w:rsidRDefault="008A18DA"/>
    <w:p w14:paraId="42E3260B" w14:textId="77777777" w:rsidR="008A18DA" w:rsidRDefault="008A18DA">
      <w:pPr>
        <w:pBdr>
          <w:bottom w:val="single" w:sz="6" w:space="1" w:color="9B111E"/>
        </w:pBdr>
      </w:pPr>
    </w:p>
    <w:p w14:paraId="1F3742C0" w14:textId="77777777" w:rsidR="008A18DA" w:rsidRDefault="00000000">
      <w:pPr>
        <w:pStyle w:val="Heading1"/>
      </w:pPr>
      <w:r>
        <w:t>6. DOWNSTREAM DEPENDENCIES</w:t>
      </w:r>
    </w:p>
    <w:p w14:paraId="26086F8E" w14:textId="77777777" w:rsidR="008A18DA" w:rsidRDefault="008A18DA">
      <w:pPr>
        <w:pBdr>
          <w:bottom w:val="single" w:sz="6" w:space="1" w:color="9B111E"/>
        </w:pBdr>
      </w:pPr>
    </w:p>
    <w:p w14:paraId="2CAC7015" w14:textId="77777777" w:rsidR="008A18DA" w:rsidRDefault="00000000">
      <w:pPr>
        <w:spacing w:before="40" w:after="80"/>
      </w:pPr>
      <w:r>
        <w:t>Downstream dependencies are systems, processes, and stakeholders that consume the outputs produced by PROMETHEUS.</w:t>
      </w:r>
    </w:p>
    <w:p w14:paraId="6E5492C5" w14:textId="77777777" w:rsidR="008A18DA" w:rsidRDefault="00000000">
      <w:pPr>
        <w:pStyle w:val="Heading2"/>
      </w:pPr>
      <w:r>
        <w:t>6.1 Regulatory Reporting Systems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A18DA" w14:paraId="207CBE36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1E2A3A"/>
            <w:vAlign w:val="center"/>
          </w:tcPr>
          <w:p w14:paraId="3D8F71CC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FFFFFF"/>
                <w:sz w:val="19"/>
              </w:rPr>
              <w:t>Downstream Consumer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1E2A3A"/>
            <w:vAlign w:val="center"/>
          </w:tcPr>
          <w:p w14:paraId="430D7E0B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FFFFFF"/>
                <w:sz w:val="19"/>
              </w:rPr>
              <w:t>Data Consumed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1E2A3A"/>
            <w:vAlign w:val="center"/>
          </w:tcPr>
          <w:p w14:paraId="77A94B27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FFFFFF"/>
                <w:sz w:val="19"/>
              </w:rPr>
              <w:t>Format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1E2A3A"/>
            <w:vAlign w:val="center"/>
          </w:tcPr>
          <w:p w14:paraId="34B50B3C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FFFFFF"/>
                <w:sz w:val="19"/>
              </w:rPr>
              <w:t>Frequency</w:t>
            </w:r>
          </w:p>
        </w:tc>
      </w:tr>
      <w:tr w:rsidR="008A18DA" w14:paraId="2065944D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6C99E70B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 xml:space="preserve">COREP / Basel Pillar 1 </w:t>
            </w:r>
            <w:r>
              <w:rPr>
                <w:b/>
                <w:color w:val="1E2A3A"/>
                <w:sz w:val="19"/>
              </w:rPr>
              <w:lastRenderedPageBreak/>
              <w:t>Reporting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6741917F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lastRenderedPageBreak/>
              <w:t xml:space="preserve">Total RWA, component </w:t>
            </w:r>
            <w:r>
              <w:rPr>
                <w:sz w:val="19"/>
              </w:rPr>
              <w:lastRenderedPageBreak/>
              <w:t>breakdown, Capital ratio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5977A2C1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lastRenderedPageBreak/>
              <w:t xml:space="preserve">Excel / CSV (Pillar 3 </w:t>
            </w:r>
            <w:r>
              <w:rPr>
                <w:sz w:val="19"/>
              </w:rPr>
              <w:lastRenderedPageBreak/>
              <w:t>templates)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5DABBC59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lastRenderedPageBreak/>
              <w:t>Monthly / Quarterly</w:t>
            </w:r>
          </w:p>
        </w:tc>
      </w:tr>
      <w:tr w:rsidR="008A18DA" w14:paraId="734ECB80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73F70C03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Pillar 3 Public Disclosure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6794B836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RWA by risk type, capital ratios, credit quality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4F6BE9D3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xlsx export from dashboard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79F6274E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Semi-annual / Annual</w:t>
            </w:r>
          </w:p>
        </w:tc>
      </w:tr>
      <w:tr w:rsidR="008A18DA" w14:paraId="4CD3C55B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30E1EA8E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Internal Regulatory Affairs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65F02991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Fallback traces, audit logs, breach alerts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497793AA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 xml:space="preserve">PostgreSQL </w:t>
            </w:r>
            <w:r>
              <w:rPr>
                <w:rFonts w:ascii="Courier New" w:hAnsi="Courier New"/>
                <w:color w:val="C7254E"/>
                <w:sz w:val="17"/>
              </w:rPr>
              <w:t>audit</w:t>
            </w:r>
            <w:r>
              <w:rPr>
                <w:sz w:val="19"/>
              </w:rPr>
              <w:t xml:space="preserve"> schema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0B68C17E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On-demand / Event-driven</w:t>
            </w:r>
          </w:p>
        </w:tc>
      </w:tr>
    </w:tbl>
    <w:p w14:paraId="734711F1" w14:textId="77777777" w:rsidR="008A18DA" w:rsidRDefault="008A18DA"/>
    <w:p w14:paraId="08883B3F" w14:textId="77777777" w:rsidR="008A18DA" w:rsidRDefault="00000000">
      <w:pPr>
        <w:pStyle w:val="Heading2"/>
      </w:pPr>
      <w:r>
        <w:t>6.2 Capital Planning and Finance Systems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A18DA" w14:paraId="1FECCC0D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1E2A3A"/>
            <w:vAlign w:val="center"/>
          </w:tcPr>
          <w:p w14:paraId="6D559A8E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FFFFFF"/>
                <w:sz w:val="19"/>
              </w:rPr>
              <w:t>Downstream Consumer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1E2A3A"/>
            <w:vAlign w:val="center"/>
          </w:tcPr>
          <w:p w14:paraId="08171C0C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FFFFFF"/>
                <w:sz w:val="19"/>
              </w:rPr>
              <w:t>Data Consumed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1E2A3A"/>
            <w:vAlign w:val="center"/>
          </w:tcPr>
          <w:p w14:paraId="799B9F65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FFFFFF"/>
                <w:sz w:val="19"/>
              </w:rPr>
              <w:t>Format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1E2A3A"/>
            <w:vAlign w:val="center"/>
          </w:tcPr>
          <w:p w14:paraId="623ED7E1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FFFFFF"/>
                <w:sz w:val="19"/>
              </w:rPr>
              <w:t>Frequency</w:t>
            </w:r>
          </w:p>
        </w:tc>
      </w:tr>
      <w:tr w:rsidR="008A18DA" w14:paraId="62922ECC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5A5CC51F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ICAAP (Internal Capital Adequacy Assessment Process)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34030B28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RWA forecasts, stress scenario outputs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73CFCFA6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JSON → Excel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065E1682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Annual</w:t>
            </w:r>
          </w:p>
        </w:tc>
      </w:tr>
      <w:tr w:rsidR="008A18DA" w14:paraId="790AD906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1D1A4372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CFO / Treasury Capital Planning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139A1F25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Total RWA, output floor result, Capital = RWA × 8%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1AA980CC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Dashboard / Excel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73BEC7FB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Daily / Monthly</w:t>
            </w:r>
          </w:p>
        </w:tc>
      </w:tr>
      <w:tr w:rsidR="008A18DA" w14:paraId="0ED0890B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3034AA26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ALM System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6F704E17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Banking book RWA, A-IRB capital requirement K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4270C3D6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JSON / PostgreSQL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7B15CFC4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Daily</w:t>
            </w:r>
          </w:p>
        </w:tc>
      </w:tr>
    </w:tbl>
    <w:p w14:paraId="7126219E" w14:textId="77777777" w:rsidR="008A18DA" w:rsidRDefault="008A18DA"/>
    <w:p w14:paraId="5EE49432" w14:textId="77777777" w:rsidR="008A18DA" w:rsidRDefault="00000000">
      <w:pPr>
        <w:pStyle w:val="Heading2"/>
      </w:pPr>
      <w:r>
        <w:t>6.3 Risk Management Systems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439"/>
        <w:gridCol w:w="2160"/>
      </w:tblGrid>
      <w:tr w:rsidR="008A18DA" w14:paraId="270550D9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1E2A3A"/>
            <w:vAlign w:val="center"/>
          </w:tcPr>
          <w:p w14:paraId="02162E4A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FFFFFF"/>
                <w:sz w:val="19"/>
              </w:rPr>
              <w:t>Downstream Consumer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1E2A3A"/>
            <w:vAlign w:val="center"/>
          </w:tcPr>
          <w:p w14:paraId="27FA847B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FFFFFF"/>
                <w:sz w:val="19"/>
              </w:rPr>
              <w:t>Data Consumed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1E2A3A"/>
            <w:vAlign w:val="center"/>
          </w:tcPr>
          <w:p w14:paraId="50B933FC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FFFFFF"/>
                <w:sz w:val="19"/>
              </w:rPr>
              <w:t>Format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1E2A3A"/>
            <w:vAlign w:val="center"/>
          </w:tcPr>
          <w:p w14:paraId="6C0C1818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FFFFFF"/>
                <w:sz w:val="19"/>
              </w:rPr>
              <w:t>Frequency</w:t>
            </w:r>
          </w:p>
        </w:tc>
      </w:tr>
      <w:tr w:rsidR="008A18DA" w14:paraId="08B9CC88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11FB5F8A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Risk Limit Monitoring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738CE847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SA-CCR EAD, FRTB Capital, CVA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7FB7E001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 xml:space="preserve">PostgreSQL </w:t>
            </w:r>
            <w:r>
              <w:rPr>
                <w:rFonts w:ascii="Courier New" w:hAnsi="Courier New"/>
                <w:color w:val="C7254E"/>
                <w:sz w:val="17"/>
              </w:rPr>
              <w:t>reference.risk_limits</w:t>
            </w:r>
            <w:r>
              <w:rPr>
                <w:sz w:val="19"/>
              </w:rPr>
              <w:t xml:space="preserve"> + </w:t>
            </w:r>
            <w:r>
              <w:rPr>
                <w:rFonts w:ascii="Courier New" w:hAnsi="Courier New"/>
                <w:color w:val="C7254E"/>
                <w:sz w:val="17"/>
              </w:rPr>
              <w:t>audit.breach_alerts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4C197C13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Daily</w:t>
            </w:r>
          </w:p>
        </w:tc>
      </w:tr>
      <w:tr w:rsidR="008A18DA" w14:paraId="460929B0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5AE838E6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CVA Desk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19DBB1F0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SA-CVA / BA-CVA breakdown, CDS spread inputs used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1C460A9F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JSON / Dashboard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461245B6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Daily</w:t>
            </w:r>
          </w:p>
        </w:tc>
      </w:tr>
      <w:tr w:rsidR="008A18DA" w14:paraId="0098D9E7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68912538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Trading Book Risk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234DBED8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FRTB SBM and IMA charges, DRC, RRAO, backtesting status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789F34B7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Dashboard page / JSON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0EB63EEE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Daily</w:t>
            </w:r>
          </w:p>
        </w:tc>
      </w:tr>
      <w:tr w:rsidR="008A18DA" w14:paraId="45AA3AA6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02EC1131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Credit Risk Team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355C46F7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A-IRB RWA, PD/LGD floors applied, EL shortfall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301B3F9E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Dashboard page / Excel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20645F56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Daily</w:t>
            </w:r>
          </w:p>
        </w:tc>
      </w:tr>
    </w:tbl>
    <w:p w14:paraId="2E98D0AE" w14:textId="77777777" w:rsidR="008A18DA" w:rsidRDefault="008A18DA"/>
    <w:p w14:paraId="378A6154" w14:textId="77777777" w:rsidR="008A18DA" w:rsidRDefault="00000000">
      <w:pPr>
        <w:pStyle w:val="Heading2"/>
      </w:pPr>
      <w:r>
        <w:t>6.4 Technology Consumers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A18DA" w14:paraId="7C5D5AC8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1E2A3A"/>
            <w:vAlign w:val="center"/>
          </w:tcPr>
          <w:p w14:paraId="52C49D3F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FFFFFF"/>
                <w:sz w:val="19"/>
              </w:rPr>
              <w:t>Downstream Consumer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1E2A3A"/>
            <w:vAlign w:val="center"/>
          </w:tcPr>
          <w:p w14:paraId="5BD14989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FFFFFF"/>
                <w:sz w:val="19"/>
              </w:rPr>
              <w:t>Data Consumed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1E2A3A"/>
            <w:vAlign w:val="center"/>
          </w:tcPr>
          <w:p w14:paraId="06FEE9D6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FFFFFF"/>
                <w:sz w:val="19"/>
              </w:rPr>
              <w:t>Interface</w:t>
            </w:r>
          </w:p>
        </w:tc>
      </w:tr>
      <w:tr w:rsidR="008A18DA" w14:paraId="0BE74068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247092A9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PostgreSQL Database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0DB7155F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 xml:space="preserve">All run results persisted via </w:t>
            </w:r>
            <w:r>
              <w:rPr>
                <w:rFonts w:ascii="Courier New" w:hAnsi="Courier New"/>
                <w:color w:val="C7254E"/>
                <w:sz w:val="17"/>
              </w:rPr>
              <w:t>persistence.py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43BB84ED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psycopg2</w:t>
            </w:r>
          </w:p>
        </w:tc>
      </w:tr>
      <w:tr w:rsidR="008A18DA" w14:paraId="1120E74B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419E941F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Streamlit Dashboard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7BA547E5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All JSON results rendered as charts and tables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0EC405D8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Python direct call</w:t>
            </w:r>
          </w:p>
        </w:tc>
      </w:tr>
      <w:tr w:rsidR="008A18DA" w14:paraId="5F2DBFAB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3655E816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pgAdmin 4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18B5648B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Schema exploration, query verification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01DEE617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PostgreSQL connection</w:t>
            </w:r>
          </w:p>
        </w:tc>
      </w:tr>
      <w:tr w:rsidR="008A18DA" w14:paraId="6AD4BB53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791EEF9E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External Auditors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32DB71D7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Audit logs, calculation traces, formula references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27AB1F19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Excel export / PostgreSQL read access</w:t>
            </w:r>
          </w:p>
        </w:tc>
      </w:tr>
    </w:tbl>
    <w:p w14:paraId="7E2356A9" w14:textId="77777777" w:rsidR="008A18DA" w:rsidRDefault="008A18DA"/>
    <w:p w14:paraId="2CC086CF" w14:textId="77777777" w:rsidR="008A18DA" w:rsidRDefault="008A18DA">
      <w:pPr>
        <w:pBdr>
          <w:bottom w:val="single" w:sz="6" w:space="1" w:color="9B111E"/>
        </w:pBdr>
      </w:pPr>
    </w:p>
    <w:p w14:paraId="71007EF3" w14:textId="77777777" w:rsidR="008A18DA" w:rsidRDefault="00000000">
      <w:pPr>
        <w:pStyle w:val="Heading1"/>
      </w:pPr>
      <w:r>
        <w:t>7. BUSINESS REQUIREMENTS</w:t>
      </w:r>
    </w:p>
    <w:p w14:paraId="3B13229E" w14:textId="77777777" w:rsidR="008A18DA" w:rsidRDefault="008A18DA">
      <w:pPr>
        <w:pBdr>
          <w:bottom w:val="single" w:sz="6" w:space="1" w:color="9B111E"/>
        </w:pBdr>
      </w:pPr>
    </w:p>
    <w:p w14:paraId="6823E847" w14:textId="77777777" w:rsidR="008A18DA" w:rsidRDefault="00000000">
      <w:pPr>
        <w:pStyle w:val="Heading2"/>
      </w:pPr>
      <w:r>
        <w:t>7.1 BR-001 — Regulatory Capital Coverage (CRITICAL)</w:t>
      </w:r>
    </w:p>
    <w:p w14:paraId="4492E6AD" w14:textId="77777777" w:rsidR="008A18DA" w:rsidRDefault="00000000">
      <w:pPr>
        <w:spacing w:before="40" w:after="80"/>
      </w:pPr>
      <w:r>
        <w:t>The platform MUST calculate Risk-Weighted Assets for all regulatory components mandated by Basel III/IV. No component may be omitted, approximated beyond regulatory tolerances, or silently defaulted without an audit trace.</w:t>
      </w:r>
    </w:p>
    <w:p w14:paraId="52A8507D" w14:textId="77777777" w:rsidR="008A18DA" w:rsidRDefault="00000000">
      <w:pPr>
        <w:spacing w:before="40" w:after="80"/>
      </w:pPr>
      <w:r>
        <w:rPr>
          <w:b/>
        </w:rPr>
        <w:t>Components required:</w:t>
      </w:r>
    </w:p>
    <w:p w14:paraId="1E24BCDB" w14:textId="77777777" w:rsidR="008A18DA" w:rsidRDefault="00000000">
      <w:pPr>
        <w:pStyle w:val="ListNumber"/>
        <w:spacing w:before="20" w:after="40"/>
      </w:pPr>
      <w:r>
        <w:t>Credit Risk — A-IRB (CRE30–36)</w:t>
      </w:r>
    </w:p>
    <w:p w14:paraId="026DD130" w14:textId="77777777" w:rsidR="008A18DA" w:rsidRDefault="00000000">
      <w:pPr>
        <w:pStyle w:val="ListNumber"/>
        <w:spacing w:before="20" w:after="40"/>
      </w:pPr>
      <w:r>
        <w:t>Counterparty Credit Risk — SA-CCR (CRE52) and IMM (CRE53) with floor</w:t>
      </w:r>
    </w:p>
    <w:p w14:paraId="49FED7AF" w14:textId="77777777" w:rsidR="008A18DA" w:rsidRDefault="00000000">
      <w:pPr>
        <w:pStyle w:val="ListNumber"/>
        <w:spacing w:before="20" w:after="40"/>
      </w:pPr>
      <w:r>
        <w:t>Market Risk — FRTB SBM + IMA (MAR20–33)</w:t>
      </w:r>
    </w:p>
    <w:p w14:paraId="50A525B9" w14:textId="77777777" w:rsidR="008A18DA" w:rsidRPr="0067037A" w:rsidRDefault="00000000">
      <w:pPr>
        <w:pStyle w:val="ListNumber"/>
        <w:spacing w:before="20" w:after="40"/>
        <w:rPr>
          <w:lang w:val="fr-FR"/>
        </w:rPr>
      </w:pPr>
      <w:r w:rsidRPr="0067037A">
        <w:rPr>
          <w:lang w:val="fr-FR"/>
        </w:rPr>
        <w:t>CVA Risk — BA-CVA / SA-CVA (MAR50)</w:t>
      </w:r>
    </w:p>
    <w:p w14:paraId="6AA5102F" w14:textId="77777777" w:rsidR="008A18DA" w:rsidRDefault="00000000">
      <w:pPr>
        <w:pStyle w:val="ListNumber"/>
        <w:spacing w:before="20" w:after="40"/>
      </w:pPr>
      <w:r>
        <w:t>CCP Exposure — Qualified CCP + DFC (CRE54)</w:t>
      </w:r>
    </w:p>
    <w:p w14:paraId="596ABD14" w14:textId="77777777" w:rsidR="008A18DA" w:rsidRDefault="00000000">
      <w:pPr>
        <w:pStyle w:val="ListNumber"/>
        <w:spacing w:before="20" w:after="40"/>
      </w:pPr>
      <w:r>
        <w:t>Operational Risk — OPE25 BIA stub</w:t>
      </w:r>
    </w:p>
    <w:p w14:paraId="6EE49895" w14:textId="77777777" w:rsidR="008A18DA" w:rsidRDefault="00000000">
      <w:pPr>
        <w:pStyle w:val="ListNumber"/>
        <w:spacing w:before="20" w:after="40"/>
      </w:pPr>
      <w:r>
        <w:t>Output Floor — 72.5% SA-based floor (RBC20.11)</w:t>
      </w:r>
    </w:p>
    <w:p w14:paraId="52BE70AF" w14:textId="77777777" w:rsidR="008A18DA" w:rsidRDefault="00000000">
      <w:pPr>
        <w:spacing w:before="40" w:after="80"/>
      </w:pPr>
      <w:r>
        <w:rPr>
          <w:b/>
        </w:rPr>
        <w:t>Acceptance Criteria:</w:t>
      </w:r>
    </w:p>
    <w:p w14:paraId="6EF5BA45" w14:textId="77777777" w:rsidR="008A18DA" w:rsidRDefault="00000000">
      <w:pPr>
        <w:pStyle w:val="ListBullet"/>
        <w:spacing w:before="20" w:after="40"/>
      </w:pPr>
      <w:r>
        <w:t>All six engines implemented and tested</w:t>
      </w:r>
    </w:p>
    <w:p w14:paraId="63F7DAF5" w14:textId="77777777" w:rsidR="008A18DA" w:rsidRDefault="00000000">
      <w:pPr>
        <w:pStyle w:val="ListBullet"/>
        <w:spacing w:before="20" w:after="40"/>
      </w:pPr>
      <w:r>
        <w:t>Output floor formula verified against RBC20.11 and CAP10 FAQ1</w:t>
      </w:r>
    </w:p>
    <w:p w14:paraId="3697C671" w14:textId="77777777" w:rsidR="008A18DA" w:rsidRDefault="00000000">
      <w:pPr>
        <w:pStyle w:val="ListBullet"/>
        <w:spacing w:before="20" w:after="40"/>
      </w:pPr>
      <w:r>
        <w:t>100% test pass rate across all regulatory formulas</w:t>
      </w:r>
    </w:p>
    <w:p w14:paraId="77A4A3EE" w14:textId="77777777" w:rsidR="008A18DA" w:rsidRDefault="008A18DA">
      <w:pPr>
        <w:pBdr>
          <w:bottom w:val="single" w:sz="6" w:space="1" w:color="9B111E"/>
        </w:pBdr>
      </w:pPr>
    </w:p>
    <w:p w14:paraId="0231DB39" w14:textId="77777777" w:rsidR="008A18DA" w:rsidRDefault="00000000">
      <w:pPr>
        <w:pStyle w:val="Heading2"/>
      </w:pPr>
      <w:r>
        <w:t>7.2 BR-002 — Portfolio Management (HIGH)</w:t>
      </w:r>
    </w:p>
    <w:p w14:paraId="4DB3D3A0" w14:textId="77777777" w:rsidR="008A18DA" w:rsidRDefault="00000000">
      <w:pPr>
        <w:spacing w:before="40" w:after="80"/>
      </w:pPr>
      <w:r>
        <w:t>The platform MUST support comprehensive, multi-asset-class portfolio modelling for both derivative and banking book exposures.</w:t>
      </w:r>
    </w:p>
    <w:p w14:paraId="06CA8AA1" w14:textId="77777777" w:rsidR="008A18DA" w:rsidRDefault="00000000">
      <w:pPr>
        <w:spacing w:before="40" w:after="80"/>
      </w:pPr>
      <w:r>
        <w:rPr>
          <w:b/>
        </w:rPr>
        <w:t>Requirements:</w:t>
      </w:r>
    </w:p>
    <w:p w14:paraId="23350361" w14:textId="77777777" w:rsidR="008A18DA" w:rsidRDefault="00000000">
      <w:pPr>
        <w:pStyle w:val="ListBullet"/>
        <w:spacing w:before="20" w:after="40"/>
      </w:pPr>
      <w:r>
        <w:t>Derivative portfolios with minimum 5 trades per netting set across IR, FX, Credit, Equity, and Commodity asset classes</w:t>
      </w:r>
    </w:p>
    <w:p w14:paraId="43CF5F41" w14:textId="77777777" w:rsidR="008A18DA" w:rsidRDefault="00000000">
      <w:pPr>
        <w:pStyle w:val="ListBullet"/>
        <w:spacing w:before="20" w:after="40"/>
      </w:pPr>
      <w:r>
        <w:t>Banking book portfolios with Corporate, SME, Residential Mortgage, and Revolving Credit exposure types</w:t>
      </w:r>
    </w:p>
    <w:p w14:paraId="0586113D" w14:textId="77777777" w:rsidR="008A18DA" w:rsidRDefault="00000000">
      <w:pPr>
        <w:pStyle w:val="ListBullet"/>
        <w:spacing w:before="20" w:after="40"/>
      </w:pPr>
      <w:r>
        <w:t xml:space="preserve">Portfolio identifiers following </w:t>
      </w:r>
      <w:r>
        <w:rPr>
          <w:rFonts w:ascii="Courier New" w:hAnsi="Courier New"/>
          <w:color w:val="C7254E"/>
          <w:sz w:val="18"/>
        </w:rPr>
        <w:t>DRV-YYYY-NNN</w:t>
      </w:r>
      <w:r>
        <w:t xml:space="preserve"> (derivatives) and </w:t>
      </w:r>
      <w:r>
        <w:rPr>
          <w:rFonts w:ascii="Courier New" w:hAnsi="Courier New"/>
          <w:color w:val="C7254E"/>
          <w:sz w:val="18"/>
        </w:rPr>
        <w:t>BBK-YYYY-NNN</w:t>
      </w:r>
      <w:r>
        <w:t xml:space="preserve"> (banking book) conventions</w:t>
      </w:r>
    </w:p>
    <w:p w14:paraId="035015B9" w14:textId="77777777" w:rsidR="008A18DA" w:rsidRDefault="00000000">
      <w:pPr>
        <w:pStyle w:val="ListBullet"/>
        <w:spacing w:before="20" w:after="40"/>
      </w:pPr>
      <w:r>
        <w:t>CSA parameters (IM, VM, Threshold, MTA, MPOR) modelled per netting set</w:t>
      </w:r>
    </w:p>
    <w:p w14:paraId="325E1567" w14:textId="77777777" w:rsidR="008A18DA" w:rsidRDefault="00000000">
      <w:pPr>
        <w:pStyle w:val="ListBullet"/>
        <w:spacing w:before="20" w:after="40"/>
      </w:pPr>
      <w:r>
        <w:t>Day-on-day portfolio tracking for regulatory consistency</w:t>
      </w:r>
    </w:p>
    <w:p w14:paraId="5E67D6ED" w14:textId="77777777" w:rsidR="008A18DA" w:rsidRDefault="008A18DA">
      <w:pPr>
        <w:pBdr>
          <w:bottom w:val="single" w:sz="6" w:space="1" w:color="9B111E"/>
        </w:pBdr>
      </w:pPr>
    </w:p>
    <w:p w14:paraId="50AD3004" w14:textId="77777777" w:rsidR="008A18DA" w:rsidRDefault="00000000">
      <w:pPr>
        <w:pStyle w:val="Heading2"/>
      </w:pPr>
      <w:r>
        <w:t>7.3 BR-003 — Backtesting and Model Validation (CRITICAL)</w:t>
      </w:r>
    </w:p>
    <w:p w14:paraId="1F17F534" w14:textId="77777777" w:rsidR="008A18DA" w:rsidRDefault="00000000">
      <w:pPr>
        <w:spacing w:before="40" w:after="80"/>
      </w:pPr>
      <w:r>
        <w:t>The platform MUST implement regulatory backtesting under the MAR99 traffic-light framework.</w:t>
      </w:r>
    </w:p>
    <w:p w14:paraId="75268702" w14:textId="77777777" w:rsidR="008A18DA" w:rsidRDefault="00000000">
      <w:pPr>
        <w:spacing w:before="40" w:after="80"/>
      </w:pPr>
      <w:r>
        <w:rPr>
          <w:b/>
        </w:rPr>
        <w:lastRenderedPageBreak/>
        <w:t>Requirements:</w:t>
      </w:r>
    </w:p>
    <w:p w14:paraId="62163DA1" w14:textId="77777777" w:rsidR="008A18DA" w:rsidRDefault="00000000">
      <w:pPr>
        <w:pStyle w:val="ListBullet"/>
        <w:spacing w:before="20" w:after="40"/>
      </w:pPr>
      <w:r>
        <w:t>250-day rolling backtesting window comparing P&amp;L against model VaR/ES</w:t>
      </w:r>
    </w:p>
    <w:p w14:paraId="0A472488" w14:textId="77777777" w:rsidR="008A18DA" w:rsidRDefault="00000000">
      <w:pPr>
        <w:pStyle w:val="ListBullet"/>
        <w:spacing w:before="20" w:after="40"/>
      </w:pPr>
      <w:r>
        <w:t>Traffic-light system: Green (0–4 exceptions), Amber (5–9), Red (≥10)</w:t>
      </w:r>
    </w:p>
    <w:p w14:paraId="66511D1E" w14:textId="77777777" w:rsidR="008A18DA" w:rsidRDefault="00000000">
      <w:pPr>
        <w:pStyle w:val="ListBullet"/>
        <w:spacing w:before="20" w:after="40"/>
      </w:pPr>
      <w:r>
        <w:t>Spearman rank correlation test (ρ ≥ 0.50) and Kolmogorov-Smirnov test (p-value ≥ 0.05)</w:t>
      </w:r>
    </w:p>
    <w:p w14:paraId="50D6EC14" w14:textId="77777777" w:rsidR="008A18DA" w:rsidRDefault="00000000">
      <w:pPr>
        <w:pStyle w:val="ListBullet"/>
        <w:spacing w:before="20" w:after="40"/>
      </w:pPr>
      <w:r>
        <w:t>Percentage Liquidity Adequacy (PLA) test per MAR32</w:t>
      </w:r>
    </w:p>
    <w:p w14:paraId="602B8F7C" w14:textId="77777777" w:rsidR="008A18DA" w:rsidRDefault="00000000">
      <w:pPr>
        <w:pStyle w:val="ListBullet"/>
        <w:spacing w:before="20" w:after="40"/>
      </w:pPr>
      <w:r>
        <w:t>Automated breach alerting and logging</w:t>
      </w:r>
    </w:p>
    <w:p w14:paraId="022C682F" w14:textId="77777777" w:rsidR="008A18DA" w:rsidRDefault="008A18DA">
      <w:pPr>
        <w:pBdr>
          <w:bottom w:val="single" w:sz="6" w:space="1" w:color="9B111E"/>
        </w:pBdr>
      </w:pPr>
    </w:p>
    <w:p w14:paraId="7CA58845" w14:textId="77777777" w:rsidR="008A18DA" w:rsidRDefault="00000000">
      <w:pPr>
        <w:pStyle w:val="Heading2"/>
      </w:pPr>
      <w:r>
        <w:t>7.4 BR-004 — Real-Time Market Data Integration (HIGH)</w:t>
      </w:r>
    </w:p>
    <w:p w14:paraId="7569BDEB" w14:textId="77777777" w:rsidR="008A18DA" w:rsidRDefault="00000000">
      <w:pPr>
        <w:spacing w:before="40" w:after="80"/>
      </w:pPr>
      <w:r>
        <w:t>The platform MUST support dynamic market data feeds from industry-standard providers with intelligent fallback logic.</w:t>
      </w:r>
    </w:p>
    <w:p w14:paraId="74A7E511" w14:textId="77777777" w:rsidR="008A18DA" w:rsidRDefault="00000000">
      <w:pPr>
        <w:spacing w:before="40" w:after="80"/>
      </w:pPr>
      <w:r>
        <w:rPr>
          <w:b/>
        </w:rPr>
        <w:t>Requirements:</w:t>
      </w:r>
    </w:p>
    <w:p w14:paraId="680BB163" w14:textId="77777777" w:rsidR="008A18DA" w:rsidRDefault="00000000">
      <w:pPr>
        <w:pStyle w:val="ListBullet"/>
        <w:spacing w:before="20" w:after="40"/>
      </w:pPr>
      <w:r>
        <w:t>Primary sources: Bloomberg Terminal API, Refinitiv/LSEG Eikon</w:t>
      </w:r>
    </w:p>
    <w:p w14:paraId="23A118AE" w14:textId="77777777" w:rsidR="008A18DA" w:rsidRDefault="00000000">
      <w:pPr>
        <w:pStyle w:val="ListBullet"/>
        <w:spacing w:before="20" w:after="40"/>
      </w:pPr>
      <w:r>
        <w:t>Secondary source: Internal proprietary feeds</w:t>
      </w:r>
    </w:p>
    <w:p w14:paraId="763C8C65" w14:textId="77777777" w:rsidR="008A18DA" w:rsidRDefault="00000000">
      <w:pPr>
        <w:pStyle w:val="ListBullet"/>
        <w:spacing w:before="20" w:after="40"/>
      </w:pPr>
      <w:r>
        <w:t>Last-resort: Static configuration-driven defaults</w:t>
      </w:r>
    </w:p>
    <w:p w14:paraId="0BE2FFF2" w14:textId="77777777" w:rsidR="008A18DA" w:rsidRDefault="00000000">
      <w:pPr>
        <w:pStyle w:val="ListBullet"/>
        <w:spacing w:before="20" w:after="40"/>
      </w:pPr>
      <w:r>
        <w:t>In-memory cache with configurable TTL (default 300 seconds)</w:t>
      </w:r>
    </w:p>
    <w:p w14:paraId="1E81A721" w14:textId="77777777" w:rsidR="008A18DA" w:rsidRDefault="00000000">
      <w:pPr>
        <w:pStyle w:val="ListBullet"/>
        <w:spacing w:before="20" w:after="40"/>
      </w:pPr>
      <w:r>
        <w:t>Dynamic parameter adjustment (risk weights, correlations) based on real-time VIX, spreads, and volatility</w:t>
      </w:r>
    </w:p>
    <w:p w14:paraId="6EF56A03" w14:textId="77777777" w:rsidR="008A18DA" w:rsidRDefault="008A18DA">
      <w:pPr>
        <w:pBdr>
          <w:bottom w:val="single" w:sz="6" w:space="1" w:color="9B111E"/>
        </w:pBdr>
      </w:pPr>
    </w:p>
    <w:p w14:paraId="57F0EACD" w14:textId="77777777" w:rsidR="008A18DA" w:rsidRDefault="00000000">
      <w:pPr>
        <w:pStyle w:val="Heading2"/>
      </w:pPr>
      <w:r>
        <w:t>7.5 BR-005 — Interactive Dashboard (MEDIUM)</w:t>
      </w:r>
    </w:p>
    <w:p w14:paraId="506CA219" w14:textId="77777777" w:rsidR="008A18DA" w:rsidRDefault="00000000">
      <w:pPr>
        <w:spacing w:before="40" w:after="80"/>
      </w:pPr>
      <w:r>
        <w:t>The platform MUST provide a web-based, interactive visualisation and reporting dashboard accessible to risk officers without programming expertise.</w:t>
      </w:r>
    </w:p>
    <w:p w14:paraId="72937AF0" w14:textId="77777777" w:rsidR="008A18DA" w:rsidRDefault="00000000">
      <w:pPr>
        <w:spacing w:before="40" w:after="80"/>
      </w:pPr>
      <w:r>
        <w:rPr>
          <w:b/>
        </w:rPr>
        <w:t>Requirements:</w:t>
      </w:r>
    </w:p>
    <w:p w14:paraId="1EE02B92" w14:textId="77777777" w:rsidR="008A18DA" w:rsidRDefault="00000000">
      <w:pPr>
        <w:pStyle w:val="ListBullet"/>
        <w:spacing w:before="20" w:after="40"/>
      </w:pPr>
      <w:r>
        <w:t>8 functional pages: Overview, Derivative Risk, Banking Book, Backtesting, Capital Planning, Reports, Settings, Documentation</w:t>
      </w:r>
    </w:p>
    <w:p w14:paraId="18F4468D" w14:textId="77777777" w:rsidR="008A18DA" w:rsidRDefault="00000000">
      <w:pPr>
        <w:pStyle w:val="ListBullet"/>
        <w:spacing w:before="20" w:after="40"/>
      </w:pPr>
      <w:r>
        <w:t>Institutional-grade visual design with export to xlsx/csv</w:t>
      </w:r>
    </w:p>
    <w:p w14:paraId="6E433FC6" w14:textId="77777777" w:rsidR="008A18DA" w:rsidRDefault="00000000">
      <w:pPr>
        <w:pStyle w:val="ListBullet"/>
        <w:spacing w:before="20" w:after="40"/>
      </w:pPr>
      <w:r>
        <w:t>Real-time data refresh capability</w:t>
      </w:r>
    </w:p>
    <w:p w14:paraId="24F283BF" w14:textId="77777777" w:rsidR="008A18DA" w:rsidRDefault="00000000">
      <w:pPr>
        <w:pStyle w:val="ListBullet"/>
        <w:spacing w:before="20" w:after="40"/>
      </w:pPr>
      <w:r>
        <w:t>Responsive layout for desktop and tablet</w:t>
      </w:r>
    </w:p>
    <w:p w14:paraId="06B4F0C2" w14:textId="77777777" w:rsidR="008A18DA" w:rsidRDefault="008A18DA">
      <w:pPr>
        <w:pBdr>
          <w:bottom w:val="single" w:sz="6" w:space="1" w:color="9B111E"/>
        </w:pBdr>
      </w:pPr>
    </w:p>
    <w:p w14:paraId="6685090F" w14:textId="77777777" w:rsidR="008A18DA" w:rsidRDefault="00000000">
      <w:pPr>
        <w:pStyle w:val="Heading2"/>
      </w:pPr>
      <w:r>
        <w:t>7.6 BR-006 — Audit Trail and Compliance Reporting (CRITICAL)</w:t>
      </w:r>
    </w:p>
    <w:p w14:paraId="18B96256" w14:textId="77777777" w:rsidR="008A18DA" w:rsidRDefault="00000000">
      <w:pPr>
        <w:spacing w:before="40" w:after="80"/>
      </w:pPr>
      <w:r>
        <w:t>The platform MUST maintain immutable, complete audit logs for all calculations, method selections, fallback applications, and user actions.</w:t>
      </w:r>
    </w:p>
    <w:p w14:paraId="1AFE4793" w14:textId="77777777" w:rsidR="008A18DA" w:rsidRDefault="00000000">
      <w:pPr>
        <w:spacing w:before="40" w:after="80"/>
      </w:pPr>
      <w:r>
        <w:rPr>
          <w:b/>
        </w:rPr>
        <w:t>Requirements:</w:t>
      </w:r>
    </w:p>
    <w:p w14:paraId="280C8D13" w14:textId="77777777" w:rsidR="008A18DA" w:rsidRDefault="00000000">
      <w:pPr>
        <w:pStyle w:val="ListBullet"/>
        <w:spacing w:before="20" w:after="40"/>
      </w:pPr>
      <w:r>
        <w:t>INFO-level logs for all calculations with timestamps</w:t>
      </w:r>
    </w:p>
    <w:p w14:paraId="048CCE00" w14:textId="77777777" w:rsidR="008A18DA" w:rsidRDefault="00000000">
      <w:pPr>
        <w:pStyle w:val="ListBullet"/>
        <w:spacing w:before="20" w:after="40"/>
      </w:pPr>
      <w:r>
        <w:t>WARNING/ERROR logs for all exceptions (floor applications, fallbacks, backtesting breaches)</w:t>
      </w:r>
    </w:p>
    <w:p w14:paraId="28C77D0A" w14:textId="77777777" w:rsidR="008A18DA" w:rsidRDefault="00000000">
      <w:pPr>
        <w:pStyle w:val="ListBullet"/>
        <w:spacing w:before="20" w:after="40"/>
      </w:pPr>
      <w:r>
        <w:t xml:space="preserve">Fallback trace codes embedded in trade objects (format: </w:t>
      </w:r>
      <w:r>
        <w:rPr>
          <w:rFonts w:ascii="Courier New" w:hAnsi="Courier New"/>
          <w:color w:val="C7254E"/>
          <w:sz w:val="18"/>
        </w:rPr>
        <w:t>FALLBACK|trade_id|reason_code|description</w:t>
      </w:r>
      <w:r>
        <w:t>)</w:t>
      </w:r>
    </w:p>
    <w:p w14:paraId="0814B477" w14:textId="77777777" w:rsidR="008A18DA" w:rsidRDefault="00000000">
      <w:pPr>
        <w:pStyle w:val="ListBullet"/>
        <w:spacing w:before="20" w:after="40"/>
      </w:pPr>
      <w:r>
        <w:t>Regulatory export templates compatible with Basel Pillar 3 disclosure formats</w:t>
      </w:r>
    </w:p>
    <w:p w14:paraId="1D5BE5D1" w14:textId="77777777" w:rsidR="008A18DA" w:rsidRDefault="00000000">
      <w:pPr>
        <w:pStyle w:val="ListBullet"/>
        <w:spacing w:before="20" w:after="40"/>
      </w:pPr>
      <w:r>
        <w:t xml:space="preserve">PostgreSQL </w:t>
      </w:r>
      <w:r>
        <w:rPr>
          <w:rFonts w:ascii="Courier New" w:hAnsi="Courier New"/>
          <w:color w:val="C7254E"/>
          <w:sz w:val="18"/>
        </w:rPr>
        <w:t>audit</w:t>
      </w:r>
      <w:r>
        <w:t xml:space="preserve"> schema with four immutable tables</w:t>
      </w:r>
    </w:p>
    <w:p w14:paraId="698C3952" w14:textId="77777777" w:rsidR="008A18DA" w:rsidRDefault="008A18DA">
      <w:pPr>
        <w:pBdr>
          <w:bottom w:val="single" w:sz="6" w:space="1" w:color="9B111E"/>
        </w:pBdr>
      </w:pPr>
    </w:p>
    <w:p w14:paraId="437FFA0C" w14:textId="77777777" w:rsidR="008A18DA" w:rsidRDefault="00000000">
      <w:pPr>
        <w:pStyle w:val="Heading2"/>
      </w:pPr>
      <w:r>
        <w:t>7.7 BR-007 — Performance and Scalability (HIGH)</w:t>
      </w:r>
    </w:p>
    <w:p w14:paraId="1FA8707C" w14:textId="77777777" w:rsidR="008A18DA" w:rsidRDefault="00000000">
      <w:pPr>
        <w:spacing w:before="40" w:after="80"/>
      </w:pPr>
      <w:r>
        <w:t>The platform MUST complete a full daily risk run within acceptable time limits on target hardware.</w:t>
      </w:r>
    </w:p>
    <w:p w14:paraId="1BEFFB86" w14:textId="77777777" w:rsidR="008A18DA" w:rsidRDefault="00000000">
      <w:pPr>
        <w:spacing w:before="40" w:after="80"/>
      </w:pPr>
      <w:r>
        <w:rPr>
          <w:b/>
        </w:rPr>
        <w:t>Requirements:</w:t>
      </w:r>
    </w:p>
    <w:p w14:paraId="6090F92D" w14:textId="77777777" w:rsidR="008A18DA" w:rsidRDefault="00000000">
      <w:pPr>
        <w:pStyle w:val="ListBullet"/>
        <w:spacing w:before="20" w:after="40"/>
      </w:pPr>
      <w:r>
        <w:t>Full daily run: &lt; 5 minutes on M1 MacBook Air 8 GB</w:t>
      </w:r>
    </w:p>
    <w:p w14:paraId="34B427B6" w14:textId="77777777" w:rsidR="008A18DA" w:rsidRDefault="00000000">
      <w:pPr>
        <w:pStyle w:val="ListBullet"/>
        <w:spacing w:before="20" w:after="40"/>
      </w:pPr>
      <w:r>
        <w:t>Monte Carlo simulation: 2,000 scenarios × 52 weekly time steps</w:t>
      </w:r>
    </w:p>
    <w:p w14:paraId="7E644E53" w14:textId="77777777" w:rsidR="008A18DA" w:rsidRDefault="00000000">
      <w:pPr>
        <w:pStyle w:val="ListBullet"/>
        <w:spacing w:before="20" w:after="40"/>
      </w:pPr>
      <w:r>
        <w:t>Dashboard refresh: &lt; 3 seconds</w:t>
      </w:r>
    </w:p>
    <w:p w14:paraId="691DC4DB" w14:textId="77777777" w:rsidR="008A18DA" w:rsidRDefault="00000000">
      <w:pPr>
        <w:pStyle w:val="ListBullet"/>
        <w:spacing w:before="20" w:after="40"/>
      </w:pPr>
      <w:r>
        <w:t>Report generation: &lt; 10 seconds for 50 portfolios</w:t>
      </w:r>
    </w:p>
    <w:p w14:paraId="3615E565" w14:textId="77777777" w:rsidR="008A18DA" w:rsidRDefault="00000000">
      <w:pPr>
        <w:pStyle w:val="ListBullet"/>
        <w:spacing w:before="20" w:after="40"/>
      </w:pPr>
      <w:r>
        <w:t>Support 100+ derivative portfolios and 200+ banking book portfolios</w:t>
      </w:r>
    </w:p>
    <w:p w14:paraId="010E1362" w14:textId="77777777" w:rsidR="008A18DA" w:rsidRDefault="008A18DA">
      <w:pPr>
        <w:pBdr>
          <w:bottom w:val="single" w:sz="6" w:space="1" w:color="9B111E"/>
        </w:pBdr>
      </w:pPr>
    </w:p>
    <w:p w14:paraId="140A5937" w14:textId="77777777" w:rsidR="008A18DA" w:rsidRDefault="00000000">
      <w:pPr>
        <w:pStyle w:val="Heading1"/>
      </w:pPr>
      <w:r>
        <w:t>8. FUNCTIONAL REQUIREMENTS</w:t>
      </w:r>
    </w:p>
    <w:p w14:paraId="6C0D58D0" w14:textId="77777777" w:rsidR="008A18DA" w:rsidRDefault="008A18DA">
      <w:pPr>
        <w:pBdr>
          <w:bottom w:val="single" w:sz="6" w:space="1" w:color="9B111E"/>
        </w:pBdr>
      </w:pPr>
    </w:p>
    <w:p w14:paraId="571513FE" w14:textId="77777777" w:rsidR="008A18DA" w:rsidRDefault="008A18DA">
      <w:pPr>
        <w:pBdr>
          <w:bottom w:val="single" w:sz="6" w:space="1" w:color="9B111E"/>
        </w:pBdr>
      </w:pPr>
    </w:p>
    <w:p w14:paraId="5EACD30F" w14:textId="77777777" w:rsidR="008A18DA" w:rsidRDefault="00000000">
      <w:pPr>
        <w:pStyle w:val="Heading2"/>
      </w:pPr>
      <w:r>
        <w:t>FR-001: SA-CCR Calculation Engine — Standardised Approach for Counterparty Credit Risk</w:t>
      </w:r>
    </w:p>
    <w:p w14:paraId="2729D3D9" w14:textId="77777777" w:rsidR="008A18DA" w:rsidRDefault="00000000">
      <w:pPr>
        <w:spacing w:before="40" w:after="80"/>
      </w:pPr>
      <w:r>
        <w:rPr>
          <w:b/>
        </w:rPr>
        <w:t>Basel Standard:</w:t>
      </w:r>
      <w:r>
        <w:t xml:space="preserve"> CRE52</w:t>
      </w:r>
    </w:p>
    <w:p w14:paraId="0AB0E6CE" w14:textId="77777777" w:rsidR="008A18DA" w:rsidRDefault="00000000">
      <w:pPr>
        <w:spacing w:before="40" w:after="80"/>
      </w:pPr>
      <w:r>
        <w:rPr>
          <w:b/>
        </w:rPr>
        <w:t>Priority:</w:t>
      </w:r>
      <w:r>
        <w:t xml:space="preserve"> CRITICAL</w:t>
      </w:r>
    </w:p>
    <w:p w14:paraId="3F931E70" w14:textId="77777777" w:rsidR="008A18DA" w:rsidRDefault="00000000">
      <w:pPr>
        <w:spacing w:before="40" w:after="80"/>
      </w:pPr>
      <w:r>
        <w:rPr>
          <w:b/>
        </w:rPr>
        <w:t>Owner:</w:t>
      </w:r>
      <w:r>
        <w:t xml:space="preserve"> Credit Risk Team</w:t>
      </w:r>
    </w:p>
    <w:p w14:paraId="0A0391F9" w14:textId="77777777" w:rsidR="008A18DA" w:rsidRDefault="00000000">
      <w:pPr>
        <w:spacing w:before="40" w:after="80"/>
      </w:pPr>
      <w:r>
        <w:rPr>
          <w:b/>
        </w:rPr>
        <w:t>File:</w:t>
      </w:r>
      <w:r>
        <w:t xml:space="preserve"> </w:t>
      </w:r>
      <w:r>
        <w:rPr>
          <w:rFonts w:ascii="Courier New" w:hAnsi="Courier New"/>
        </w:rPr>
        <w:t>backend/engines/sa_ccr.py</w:t>
      </w:r>
    </w:p>
    <w:p w14:paraId="4603A46B" w14:textId="77777777" w:rsidR="008A18DA" w:rsidRDefault="008A18DA">
      <w:pPr>
        <w:pBdr>
          <w:bottom w:val="single" w:sz="6" w:space="1" w:color="9B111E"/>
        </w:pBdr>
      </w:pPr>
    </w:p>
    <w:p w14:paraId="14C78819" w14:textId="77777777" w:rsidR="008A18DA" w:rsidRDefault="00000000">
      <w:pPr>
        <w:pStyle w:val="Heading3"/>
      </w:pPr>
      <w:r>
        <w:t>8.1.1 Use Case</w:t>
      </w:r>
    </w:p>
    <w:p w14:paraId="45BCD7C9" w14:textId="77777777" w:rsidR="008A18DA" w:rsidRDefault="00000000">
      <w:pPr>
        <w:spacing w:before="40" w:after="80"/>
      </w:pPr>
      <w:r>
        <w:t xml:space="preserve">SA-CCR is the default regulatory approach for calculating </w:t>
      </w:r>
      <w:r>
        <w:rPr>
          <w:b/>
        </w:rPr>
        <w:t>Exposure at Default (EAD)</w:t>
      </w:r>
      <w:r>
        <w:t xml:space="preserve"> on derivative portfolios. It is required for all counterparty credit risk exposures and serves as the mandatory floor for the Internal Models Method (IMM). The use case is: given a set of trades in a netting set with associated CSA collateral terms, calculate the regulatory EAD that feeds into the CCR RWA component of the five-part RWA formula.</w:t>
      </w:r>
    </w:p>
    <w:p w14:paraId="78AF1667" w14:textId="77777777" w:rsidR="008A18DA" w:rsidRDefault="00000000">
      <w:pPr>
        <w:spacing w:before="40" w:after="80"/>
      </w:pPr>
      <w:r>
        <w:t>SA-CCR is also used for:</w:t>
      </w:r>
    </w:p>
    <w:p w14:paraId="6FFB6C32" w14:textId="77777777" w:rsidR="008A18DA" w:rsidRDefault="00000000">
      <w:pPr>
        <w:pStyle w:val="ListBullet"/>
        <w:spacing w:before="20" w:after="40"/>
      </w:pPr>
      <w:r>
        <w:t>Counterparties not eligible for IMM treatment</w:t>
      </w:r>
    </w:p>
    <w:p w14:paraId="1B72A0E5" w14:textId="77777777" w:rsidR="008A18DA" w:rsidRDefault="00000000">
      <w:pPr>
        <w:pStyle w:val="ListBullet"/>
        <w:spacing w:before="20" w:after="40"/>
      </w:pPr>
      <w:r>
        <w:t>IMM floor enforcement (EAD_IMM ≥ 50% × EAD_SA-CCR per CRE53.5)</w:t>
      </w:r>
    </w:p>
    <w:p w14:paraId="179325DE" w14:textId="77777777" w:rsidR="008A18DA" w:rsidRDefault="00000000">
      <w:pPr>
        <w:pStyle w:val="ListBullet"/>
        <w:spacing w:before="20" w:after="40"/>
      </w:pPr>
      <w:r>
        <w:t>CVA calculation inputs (EAD into the BA-CVA formula)</w:t>
      </w:r>
    </w:p>
    <w:p w14:paraId="032083BA" w14:textId="77777777" w:rsidR="008A18DA" w:rsidRDefault="00000000">
      <w:pPr>
        <w:pStyle w:val="ListBullet"/>
        <w:spacing w:before="20" w:after="40"/>
      </w:pPr>
      <w:r>
        <w:t>CCP exposure calculation (cleared derivatives under CRE54)</w:t>
      </w:r>
    </w:p>
    <w:p w14:paraId="116A3464" w14:textId="77777777" w:rsidR="008A18DA" w:rsidRDefault="008A18DA">
      <w:pPr>
        <w:pBdr>
          <w:bottom w:val="single" w:sz="6" w:space="1" w:color="9B111E"/>
        </w:pBdr>
      </w:pPr>
    </w:p>
    <w:p w14:paraId="32688E30" w14:textId="77777777" w:rsidR="008A18DA" w:rsidRDefault="00000000">
      <w:pPr>
        <w:pStyle w:val="Heading3"/>
      </w:pPr>
      <w:r>
        <w:t>8.1.2 Basel Context</w:t>
      </w:r>
    </w:p>
    <w:p w14:paraId="70239835" w14:textId="77777777" w:rsidR="008A18DA" w:rsidRDefault="00000000">
      <w:pPr>
        <w:spacing w:before="40" w:after="80"/>
      </w:pPr>
      <w:r>
        <w:t>SA-CCR was introduced under CRE52 (effective January 2023) as the replacement for both the Current Exposure Method (CEM) and the Standardised Method (SM). Key design principles from the BCBS:</w:t>
      </w:r>
    </w:p>
    <w:p w14:paraId="2093221E" w14:textId="77777777" w:rsidR="008A18DA" w:rsidRDefault="00000000">
      <w:pPr>
        <w:pStyle w:val="ListBullet"/>
        <w:spacing w:before="20" w:after="40"/>
      </w:pPr>
      <w:r>
        <w:rPr>
          <w:b/>
          <w:color w:val="1E2A3A"/>
        </w:rPr>
        <w:lastRenderedPageBreak/>
        <w:t>Risk-sensitivity:</w:t>
      </w:r>
      <w:r>
        <w:t xml:space="preserve"> SA-CCR is more sensitive to netting, collateral, and hedging than CEM</w:t>
      </w:r>
    </w:p>
    <w:p w14:paraId="47908BED" w14:textId="77777777" w:rsidR="008A18DA" w:rsidRDefault="00000000">
      <w:pPr>
        <w:pStyle w:val="ListBullet"/>
        <w:spacing w:before="20" w:after="40"/>
      </w:pPr>
      <w:r>
        <w:rPr>
          <w:b/>
          <w:color w:val="1E2A3A"/>
        </w:rPr>
        <w:t>Simplicity vs. accuracy:</w:t>
      </w:r>
      <w:r>
        <w:t xml:space="preserve"> More complex than CEM but simpler than full IMM simulation</w:t>
      </w:r>
    </w:p>
    <w:p w14:paraId="0F54D153" w14:textId="77777777" w:rsidR="008A18DA" w:rsidRDefault="00000000">
      <w:pPr>
        <w:pStyle w:val="ListBullet"/>
        <w:spacing w:before="20" w:after="40"/>
      </w:pPr>
      <w:r>
        <w:rPr>
          <w:b/>
          <w:color w:val="1E2A3A"/>
        </w:rPr>
        <w:t>Mandatory floor:</w:t>
      </w:r>
      <w:r>
        <w:t xml:space="preserve"> Prevents IMM from producing EAD below 50% of SA-CCR, ensuring a regulatory minimum</w:t>
      </w:r>
    </w:p>
    <w:p w14:paraId="43EF28E8" w14:textId="77777777" w:rsidR="008A18DA" w:rsidRDefault="00000000">
      <w:pPr>
        <w:pStyle w:val="ListBullet"/>
        <w:spacing w:before="20" w:after="40"/>
      </w:pPr>
      <w:r>
        <w:rPr>
          <w:b/>
          <w:color w:val="1E2A3A"/>
        </w:rPr>
        <w:t>Supervisory parameters:</w:t>
      </w:r>
      <w:r>
        <w:t xml:space="preserve"> Risk weights (supervisory factors, SF) are prescribed centrally by BCBS to prevent model risk</w:t>
      </w:r>
    </w:p>
    <w:p w14:paraId="49011842" w14:textId="77777777" w:rsidR="008A18DA" w:rsidRDefault="00000000">
      <w:pPr>
        <w:spacing w:before="40" w:after="80"/>
      </w:pPr>
      <w:r>
        <w:t xml:space="preserve">The alpha multiplier of </w:t>
      </w:r>
      <w:r>
        <w:rPr>
          <w:b/>
        </w:rPr>
        <w:t>1.4</w:t>
      </w:r>
      <w:r>
        <w:t xml:space="preserve"> (CRE52.7) reflects the BCBS's recognition that EE-based measures understate true economic exposure due to portfolio complexity, correlation risk, and wrong-way risk.</w:t>
      </w:r>
    </w:p>
    <w:p w14:paraId="4A0C7CDC" w14:textId="77777777" w:rsidR="008A18DA" w:rsidRDefault="008A18DA">
      <w:pPr>
        <w:pBdr>
          <w:bottom w:val="single" w:sz="6" w:space="1" w:color="9B111E"/>
        </w:pBdr>
      </w:pPr>
    </w:p>
    <w:p w14:paraId="5C1ED871" w14:textId="77777777" w:rsidR="008A18DA" w:rsidRDefault="00000000">
      <w:pPr>
        <w:pStyle w:val="Heading3"/>
      </w:pPr>
      <w:r>
        <w:t>8.1.3 Functional Objective of Calculations</w:t>
      </w:r>
    </w:p>
    <w:p w14:paraId="26623CB2" w14:textId="77777777" w:rsidR="008A18DA" w:rsidRDefault="00000000">
      <w:pPr>
        <w:spacing w:before="40" w:after="80"/>
      </w:pPr>
      <w:r>
        <w:t>The SA-CCR engine computes EAD through three sequential components:</w:t>
      </w:r>
    </w:p>
    <w:p w14:paraId="21BF43BF" w14:textId="77777777" w:rsidR="008A18DA" w:rsidRDefault="00000000">
      <w:pPr>
        <w:spacing w:before="40" w:after="80"/>
      </w:pPr>
      <w:r>
        <w:rPr>
          <w:b/>
        </w:rPr>
        <w:t>Step 1 — Replacement Cost (RC):</w:t>
      </w:r>
      <w:r>
        <w:t xml:space="preserve"> CRE52.12–22</w:t>
      </w:r>
    </w:p>
    <w:p w14:paraId="4196AA03" w14:textId="77777777" w:rsidR="008A18DA" w:rsidRDefault="00000000">
      <w:pPr>
        <w:spacing w:before="40" w:after="80"/>
      </w:pPr>
      <w:r>
        <w:t>Measures the immediate loss if the counterparty were to default today, accounting for current MTM value of the portfolio and collateral already posted.</w:t>
      </w:r>
    </w:p>
    <w:p w14:paraId="4C0514B3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$$\text{RC} = \max\left(V - C,\ TH + MTA - NICA,\ 0\right)$$</w:t>
      </w:r>
    </w:p>
    <w:p w14:paraId="79F7E82C" w14:textId="77777777" w:rsidR="008A18DA" w:rsidRDefault="00000000">
      <w:pPr>
        <w:spacing w:before="40" w:after="80"/>
      </w:pPr>
      <w:r>
        <w:rPr>
          <w:b/>
        </w:rPr>
        <w:t>Step 2 — Potential Future Exposure (PFE) Multiplier:</w:t>
      </w:r>
      <w:r>
        <w:t xml:space="preserve"> CRE52.23</w:t>
      </w:r>
    </w:p>
    <w:p w14:paraId="3692D553" w14:textId="77777777" w:rsidR="008A18DA" w:rsidRDefault="00000000">
      <w:pPr>
        <w:spacing w:before="40" w:after="80"/>
      </w:pPr>
      <w:r>
        <w:t>Captures the likelihood that the exposure could grow beyond RC before a default is resolved. It modulates the Add-On based on the current over- or under-collateralisation of the portfolio.</w:t>
      </w:r>
    </w:p>
    <w:p w14:paraId="3A0E95DD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$$\text{mult} = \min\left(1,\ \text{Floor} + (1 - \text{Floor}) \cdot e^{\frac{V}{2(1 - \text{Floor}) \cdot \text{AddOn}_\text{agg}}}\right)$$</w:t>
      </w:r>
    </w:p>
    <w:p w14:paraId="5C98086A" w14:textId="77777777" w:rsidR="008A18DA" w:rsidRDefault="00000000">
      <w:pPr>
        <w:spacing w:before="40" w:after="80"/>
      </w:pPr>
      <w:r>
        <w:rPr>
          <w:b/>
        </w:rPr>
        <w:t>Step 3 — Aggregate Add-On:</w:t>
      </w:r>
      <w:r>
        <w:t xml:space="preserve"> CRE52.24–75</w:t>
      </w:r>
    </w:p>
    <w:p w14:paraId="4F87AF23" w14:textId="77777777" w:rsidR="008A18DA" w:rsidRDefault="00000000">
      <w:pPr>
        <w:spacing w:before="40" w:after="80"/>
      </w:pPr>
      <w:r>
        <w:t>The Add-On captures potential future exposure over the MPOR, aggregated across five asset classes. For each asset class:</w:t>
      </w:r>
    </w:p>
    <w:p w14:paraId="2356A962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$$\text{AddOn}_\text{AC} = \sum_{\text{hedging set}}\text{EffNotional}_k \times SF_k$$</w:t>
      </w:r>
    </w:p>
    <w:p w14:paraId="4EACDC02" w14:textId="77777777" w:rsidR="008A18DA" w:rsidRDefault="00000000">
      <w:pPr>
        <w:spacing w:before="40" w:after="80"/>
      </w:pPr>
      <w:r>
        <w:rPr>
          <w:b/>
        </w:rPr>
        <w:t>Step 4 — EAD:</w:t>
      </w:r>
      <w:r>
        <w:t xml:space="preserve"> CRE52.7</w:t>
      </w:r>
    </w:p>
    <w:p w14:paraId="58811689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$$\text{EAD} = \alpha \cdot (\text{RC} + \text{mult} \cdot \text{AddOn}_\text{agg}), \quad \alpha = 1.4$$</w:t>
      </w:r>
    </w:p>
    <w:p w14:paraId="6B4A6F7E" w14:textId="77777777" w:rsidR="008A18DA" w:rsidRDefault="008A18DA">
      <w:pPr>
        <w:pBdr>
          <w:bottom w:val="single" w:sz="6" w:space="1" w:color="9B111E"/>
        </w:pBdr>
      </w:pPr>
    </w:p>
    <w:p w14:paraId="21A419EE" w14:textId="77777777" w:rsidR="008A18DA" w:rsidRDefault="00000000">
      <w:pPr>
        <w:pStyle w:val="Heading3"/>
      </w:pPr>
      <w:r>
        <w:t>8.1.4 Parameter Significance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A18DA" w14:paraId="7D003F39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1E2A3A"/>
            <w:vAlign w:val="center"/>
          </w:tcPr>
          <w:p w14:paraId="2F837B2E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FFFFFF"/>
                <w:sz w:val="19"/>
              </w:rPr>
              <w:t>Parameter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1E2A3A"/>
            <w:vAlign w:val="center"/>
          </w:tcPr>
          <w:p w14:paraId="621964A2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FFFFFF"/>
                <w:sz w:val="19"/>
              </w:rPr>
              <w:t>Symbol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1E2A3A"/>
            <w:vAlign w:val="center"/>
          </w:tcPr>
          <w:p w14:paraId="03367B4A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FFFFFF"/>
                <w:sz w:val="19"/>
              </w:rPr>
              <w:t>Value / Source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1E2A3A"/>
            <w:vAlign w:val="center"/>
          </w:tcPr>
          <w:p w14:paraId="5C247097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FFFFFF"/>
                <w:sz w:val="19"/>
              </w:rPr>
              <w:t>Significance</w:t>
            </w:r>
          </w:p>
        </w:tc>
      </w:tr>
      <w:tr w:rsidR="008A18DA" w14:paraId="607C66A4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0D8673E8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Alpha multiplier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7A194B0B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α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3760D4F1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1.4 (CRE52.7)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18D5E344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Conservatism buffer over EE; accounts for correlation and wrong-way risk; fixed by BCBS</w:t>
            </w:r>
          </w:p>
        </w:tc>
      </w:tr>
      <w:tr w:rsidR="008A18DA" w14:paraId="6FD42346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1F7A9199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PFE floor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3C306343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Floor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275CE286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0.05 (5%)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316AF8B6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Minimum multiplier even for fully overcollateralised portfolios; prevents zero EAD on CSA-covered netting sets</w:t>
            </w:r>
          </w:p>
        </w:tc>
      </w:tr>
      <w:tr w:rsidR="008A18DA" w14:paraId="6D318CA4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385A275F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Replacement Cost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75A53369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RC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5DB2436C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Trade MTM − collateral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1AD15EE1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 xml:space="preserve">Represents immediate close-out loss; floored at max(TH+MTA−NICA, 0) to account for </w:t>
            </w:r>
            <w:r>
              <w:rPr>
                <w:sz w:val="19"/>
              </w:rPr>
              <w:lastRenderedPageBreak/>
              <w:t>collateral thresholds</w:t>
            </w:r>
          </w:p>
        </w:tc>
      </w:tr>
      <w:tr w:rsidR="008A18DA" w14:paraId="483427D5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20ED648B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lastRenderedPageBreak/>
              <w:t>Threshold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4E36F0CD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TH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2CC0CD2E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Per CSA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7B8C15FB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Minimum exposure before collateral call is triggered</w:t>
            </w:r>
          </w:p>
        </w:tc>
      </w:tr>
      <w:tr w:rsidR="008A18DA" w14:paraId="7D9A9FB0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13E8F491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Minimum Transfer Amount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6AFB1E83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MTA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3ECE7E80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Per CSA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12D7D888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Smallest increment of collateral that can be transferred</w:t>
            </w:r>
          </w:p>
        </w:tc>
      </w:tr>
      <w:tr w:rsidR="008A18DA" w14:paraId="48124406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2FED0B50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Net Independent Collateral Amount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33D7D6F4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NICA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7A5E0EC7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Per netting set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0569D4B8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Collateral received − collateral posted; net benefit of collateral arrangements</w:t>
            </w:r>
          </w:p>
        </w:tc>
      </w:tr>
      <w:tr w:rsidR="008A18DA" w14:paraId="075370AC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7FC88852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Supervisory Factor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4B22B271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SF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0D246E3F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Table: IR=0.50%, FX=4.0%, EQ=32%, CDS IG=0.50%, CDS SG=5.0%, CMDTY=18%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49A62E85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BCBS-prescribed risk weights reflecting asset class volatility over MPOR</w:t>
            </w:r>
          </w:p>
        </w:tc>
      </w:tr>
      <w:tr w:rsidR="008A18DA" w14:paraId="759614E0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27162D7C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Maturity Factor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18DBADF7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MF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3EAD8DE2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Margined: √(MPOR/250); Unmargined: √(min(M,1))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2328F6F0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Scales exposure by square root of time, capturing diffusion over margin period</w:t>
            </w:r>
          </w:p>
        </w:tc>
      </w:tr>
      <w:tr w:rsidR="008A18DA" w14:paraId="1193BC58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19ABBE5A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Supervisory Duration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6CB2489A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SD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0E9827D8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(e^(−0.05S) − e^(−0.05E)) / 0.05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7E3D5285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For IR trades: scales notional by present value of the floating payment duration (CRE52.39)</w:t>
            </w:r>
          </w:p>
        </w:tc>
      </w:tr>
      <w:tr w:rsidR="008A18DA" w14:paraId="3A67A83C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6BAD3164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MPOR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6E4CB6B9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—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100AB88B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10 days (margined), 20 days (unmargined)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06565E2D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Margin Period of Risk; time to replace portfolio after counterparty default and collateral dispute</w:t>
            </w:r>
          </w:p>
        </w:tc>
      </w:tr>
      <w:tr w:rsidR="008A18DA" w14:paraId="36A7B3DB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35ADCF01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Supervisory Delta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67EB1E98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δ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4201A721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+1 long, −1 short; option-adjusted for non-linear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547564C5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Accounts for directionality and optionality in adjusted notional calculation</w:t>
            </w:r>
          </w:p>
        </w:tc>
      </w:tr>
    </w:tbl>
    <w:p w14:paraId="5AABADAD" w14:textId="77777777" w:rsidR="008A18DA" w:rsidRDefault="008A18DA"/>
    <w:p w14:paraId="0732ACE1" w14:textId="77777777" w:rsidR="008A18DA" w:rsidRDefault="008A18DA">
      <w:pPr>
        <w:pBdr>
          <w:bottom w:val="single" w:sz="6" w:space="1" w:color="9B111E"/>
        </w:pBdr>
      </w:pPr>
    </w:p>
    <w:p w14:paraId="3E1EDDD9" w14:textId="77777777" w:rsidR="008A18DA" w:rsidRDefault="00000000">
      <w:pPr>
        <w:pStyle w:val="Heading3"/>
      </w:pPr>
      <w:r>
        <w:t>8.1.5 Key Success Criteria</w:t>
      </w:r>
    </w:p>
    <w:p w14:paraId="4131AAD1" w14:textId="77777777" w:rsidR="008A18DA" w:rsidRDefault="00000000">
      <w:pPr>
        <w:pStyle w:val="ListBullet"/>
        <w:spacing w:before="20" w:after="40"/>
      </w:pPr>
      <w:r>
        <w:t>EAD calculation matches BCBS CRE52 worked examples within 0.01% tolerance</w:t>
      </w:r>
    </w:p>
    <w:p w14:paraId="2972FDBA" w14:textId="77777777" w:rsidR="008A18DA" w:rsidRDefault="00000000">
      <w:pPr>
        <w:pStyle w:val="ListBullet"/>
        <w:spacing w:before="20" w:after="40"/>
      </w:pPr>
      <w:r>
        <w:t>All five asset classes (IR, FX, EQ, Credit, CMDTY) produce non-negative Add-Ons</w:t>
      </w:r>
    </w:p>
    <w:p w14:paraId="3B7C8E54" w14:textId="77777777" w:rsidR="008A18DA" w:rsidRDefault="00000000">
      <w:pPr>
        <w:pStyle w:val="ListBullet"/>
        <w:spacing w:before="20" w:after="40"/>
      </w:pPr>
      <w:r>
        <w:t>IMM eligibility check returns correct trace code for ineligible trades</w:t>
      </w:r>
    </w:p>
    <w:p w14:paraId="346D0A7A" w14:textId="77777777" w:rsidR="008A18DA" w:rsidRDefault="00000000">
      <w:pPr>
        <w:pStyle w:val="ListBullet"/>
        <w:spacing w:before="20" w:after="40"/>
      </w:pPr>
      <w:r>
        <w:t>Regulatory floor (EAD_IMM ≥ 50% × EAD_SA-CCR) is enforced with logged fallback trace</w:t>
      </w:r>
    </w:p>
    <w:p w14:paraId="5637BB9E" w14:textId="77777777" w:rsidR="008A18DA" w:rsidRDefault="00000000">
      <w:pPr>
        <w:pStyle w:val="ListBullet"/>
        <w:spacing w:before="20" w:after="40"/>
      </w:pPr>
      <w:r>
        <w:t xml:space="preserve">12/12 SA-CCR unit tests in </w:t>
      </w:r>
      <w:r>
        <w:rPr>
          <w:rFonts w:ascii="Courier New" w:hAnsi="Courier New"/>
          <w:color w:val="C7254E"/>
          <w:sz w:val="18"/>
        </w:rPr>
        <w:t>tests/test_engines.py</w:t>
      </w:r>
      <w:r>
        <w:t xml:space="preserve"> pass</w:t>
      </w:r>
    </w:p>
    <w:p w14:paraId="33257950" w14:textId="77777777" w:rsidR="008A18DA" w:rsidRDefault="008A18DA">
      <w:pPr>
        <w:pBdr>
          <w:bottom w:val="single" w:sz="6" w:space="1" w:color="9B111E"/>
        </w:pBdr>
      </w:pPr>
    </w:p>
    <w:p w14:paraId="3FABAE88" w14:textId="77777777" w:rsidR="008A18DA" w:rsidRDefault="00000000">
      <w:pPr>
        <w:pStyle w:val="Heading2"/>
      </w:pPr>
      <w:r>
        <w:t>FR-002: IMM Monte Carlo Engine — Internal Models Method</w:t>
      </w:r>
    </w:p>
    <w:p w14:paraId="38536149" w14:textId="77777777" w:rsidR="008A18DA" w:rsidRDefault="00000000">
      <w:pPr>
        <w:spacing w:before="40" w:after="80"/>
      </w:pPr>
      <w:r>
        <w:rPr>
          <w:b/>
        </w:rPr>
        <w:t>Basel Standard:</w:t>
      </w:r>
      <w:r>
        <w:t xml:space="preserve"> CRE53</w:t>
      </w:r>
    </w:p>
    <w:p w14:paraId="71C80B1A" w14:textId="77777777" w:rsidR="008A18DA" w:rsidRDefault="00000000">
      <w:pPr>
        <w:spacing w:before="40" w:after="80"/>
      </w:pPr>
      <w:r>
        <w:rPr>
          <w:b/>
        </w:rPr>
        <w:t>Priority:</w:t>
      </w:r>
      <w:r>
        <w:t xml:space="preserve"> HIGH</w:t>
      </w:r>
    </w:p>
    <w:p w14:paraId="225EDFA1" w14:textId="77777777" w:rsidR="008A18DA" w:rsidRDefault="00000000">
      <w:pPr>
        <w:spacing w:before="40" w:after="80"/>
      </w:pPr>
      <w:r>
        <w:rPr>
          <w:b/>
        </w:rPr>
        <w:t>Owner:</w:t>
      </w:r>
      <w:r>
        <w:t xml:space="preserve"> Quantitative Risk Team</w:t>
      </w:r>
    </w:p>
    <w:p w14:paraId="2CB5EEA5" w14:textId="77777777" w:rsidR="008A18DA" w:rsidRDefault="00000000">
      <w:pPr>
        <w:spacing w:before="40" w:after="80"/>
      </w:pPr>
      <w:r>
        <w:rPr>
          <w:b/>
        </w:rPr>
        <w:t>File:</w:t>
      </w:r>
      <w:r>
        <w:t xml:space="preserve"> </w:t>
      </w:r>
      <w:r>
        <w:rPr>
          <w:rFonts w:ascii="Courier New" w:hAnsi="Courier New"/>
        </w:rPr>
        <w:t>backend/engines/imm.py</w:t>
      </w:r>
    </w:p>
    <w:p w14:paraId="5A90EA89" w14:textId="77777777" w:rsidR="008A18DA" w:rsidRDefault="008A18DA">
      <w:pPr>
        <w:pBdr>
          <w:bottom w:val="single" w:sz="6" w:space="1" w:color="9B111E"/>
        </w:pBdr>
      </w:pPr>
    </w:p>
    <w:p w14:paraId="04826543" w14:textId="77777777" w:rsidR="008A18DA" w:rsidRDefault="00000000">
      <w:pPr>
        <w:pStyle w:val="Heading3"/>
      </w:pPr>
      <w:r>
        <w:t>8.2.1 Use Case</w:t>
      </w:r>
    </w:p>
    <w:p w14:paraId="19736680" w14:textId="77777777" w:rsidR="008A18DA" w:rsidRDefault="00000000">
      <w:pPr>
        <w:spacing w:before="40" w:after="80"/>
      </w:pPr>
      <w:r>
        <w:t xml:space="preserve">The IMM engine provides a more risk-sensitive alternative to SA-CCR for eligible derivative trades. Using Monte Carlo simulation, it models the </w:t>
      </w:r>
      <w:r>
        <w:rPr>
          <w:b/>
        </w:rPr>
        <w:t>Effective Expected Positive Exposure (EEPE)</w:t>
      </w:r>
      <w:r>
        <w:t xml:space="preserve"> under both normal and stressed market conditions. Banks with supervisory approval may use IMM to calculate EAD, typically achieving 20–40% reduction in CCR RWA compared to SA-CCR, subject to the regulatory floor.</w:t>
      </w:r>
    </w:p>
    <w:p w14:paraId="7B3007F3" w14:textId="77777777" w:rsidR="008A18DA" w:rsidRDefault="00000000">
      <w:pPr>
        <w:spacing w:before="40" w:after="80"/>
      </w:pPr>
      <w:r>
        <w:t xml:space="preserve">The IMM is also the source of </w:t>
      </w:r>
      <w:r>
        <w:rPr>
          <w:b/>
        </w:rPr>
        <w:t>exposure profiles</w:t>
      </w:r>
      <w:r>
        <w:t xml:space="preserve"> (EE, EEPE, PFE) for CVA desk risk management and for dynamic collateral modelling under CSA terms.</w:t>
      </w:r>
    </w:p>
    <w:p w14:paraId="7CADF21B" w14:textId="77777777" w:rsidR="008A18DA" w:rsidRDefault="008A18DA">
      <w:pPr>
        <w:pBdr>
          <w:bottom w:val="single" w:sz="6" w:space="1" w:color="9B111E"/>
        </w:pBdr>
      </w:pPr>
    </w:p>
    <w:p w14:paraId="382DE72D" w14:textId="77777777" w:rsidR="008A18DA" w:rsidRDefault="00000000">
      <w:pPr>
        <w:pStyle w:val="Heading3"/>
      </w:pPr>
      <w:r>
        <w:t>8.2.2 Basel Context</w:t>
      </w:r>
    </w:p>
    <w:p w14:paraId="540A7C71" w14:textId="77777777" w:rsidR="008A18DA" w:rsidRDefault="00000000">
      <w:pPr>
        <w:spacing w:before="40" w:after="80"/>
      </w:pPr>
      <w:r>
        <w:t>CRE53 permits approved banks to use an internal model for counterparty credit exposure rather than the standardised SA-CCR. The core BCBS requirements are:</w:t>
      </w:r>
    </w:p>
    <w:p w14:paraId="3154E5C0" w14:textId="77777777" w:rsidR="008A18DA" w:rsidRDefault="00000000">
      <w:pPr>
        <w:pStyle w:val="ListBullet"/>
        <w:spacing w:before="20" w:after="40"/>
      </w:pPr>
      <w:r>
        <w:rPr>
          <w:b/>
          <w:color w:val="1E2A3A"/>
        </w:rPr>
        <w:t>2,000+ simulation scenarios</w:t>
      </w:r>
      <w:r>
        <w:t xml:space="preserve"> for statistical robustness (PROMETHEUS uses 2,000 for M1 hardware compatibility)</w:t>
      </w:r>
    </w:p>
    <w:p w14:paraId="20FEC367" w14:textId="77777777" w:rsidR="008A18DA" w:rsidRDefault="00000000">
      <w:pPr>
        <w:pStyle w:val="ListBullet"/>
        <w:spacing w:before="20" w:after="40"/>
      </w:pPr>
      <w:r>
        <w:rPr>
          <w:b/>
          <w:color w:val="1E2A3A"/>
        </w:rPr>
        <w:t>Stressed EEPE</w:t>
      </w:r>
      <w:r>
        <w:t xml:space="preserve"> calibrated to a 1-year stress period (2007–2009 financial crisis) to prevent pro-cyclicality</w:t>
      </w:r>
    </w:p>
    <w:p w14:paraId="689B1949" w14:textId="77777777" w:rsidR="008A18DA" w:rsidRDefault="00000000">
      <w:pPr>
        <w:pStyle w:val="ListBullet"/>
        <w:spacing w:before="20" w:after="40"/>
      </w:pPr>
      <w:r>
        <w:rPr>
          <w:b/>
          <w:color w:val="1E2A3A"/>
        </w:rPr>
        <w:t>Regulatory floor:</w:t>
      </w:r>
      <w:r>
        <w:t xml:space="preserve"> EAD_IMM ≥ 50% × EAD_SA-CCR (CRE53.5) — prevents IMM from being used to game capital</w:t>
      </w:r>
    </w:p>
    <w:p w14:paraId="212601AE" w14:textId="77777777" w:rsidR="008A18DA" w:rsidRDefault="00000000">
      <w:pPr>
        <w:pStyle w:val="ListBullet"/>
        <w:spacing w:before="20" w:after="40"/>
      </w:pPr>
      <w:r>
        <w:rPr>
          <w:b/>
          <w:color w:val="1E2A3A"/>
        </w:rPr>
        <w:t>CSA path-level modelling:</w:t>
      </w:r>
      <w:r>
        <w:t xml:space="preserve"> Collateral must be modelled at the path level, not post-hoc</w:t>
      </w:r>
    </w:p>
    <w:p w14:paraId="4A1B22DD" w14:textId="77777777" w:rsidR="008A18DA" w:rsidRDefault="00000000">
      <w:pPr>
        <w:pStyle w:val="ListBullet"/>
        <w:spacing w:before="20" w:after="40"/>
      </w:pPr>
      <w:r>
        <w:rPr>
          <w:b/>
          <w:color w:val="1E2A3A"/>
        </w:rPr>
        <w:t>Alpha multiplier of 1.4</w:t>
      </w:r>
      <w:r>
        <w:t xml:space="preserve"> applies equally to IMM EAD (CRE53.6)</w:t>
      </w:r>
    </w:p>
    <w:p w14:paraId="0E154A09" w14:textId="77777777" w:rsidR="008A18DA" w:rsidRDefault="008A18DA">
      <w:pPr>
        <w:pBdr>
          <w:bottom w:val="single" w:sz="6" w:space="1" w:color="9B111E"/>
        </w:pBdr>
      </w:pPr>
    </w:p>
    <w:p w14:paraId="61C5F543" w14:textId="77777777" w:rsidR="008A18DA" w:rsidRDefault="00000000">
      <w:pPr>
        <w:pStyle w:val="Heading3"/>
      </w:pPr>
      <w:r>
        <w:t>8.2.3 Functional Objective of Calculations</w:t>
      </w:r>
    </w:p>
    <w:p w14:paraId="025EFBD0" w14:textId="77777777" w:rsidR="008A18DA" w:rsidRDefault="00000000">
      <w:pPr>
        <w:spacing w:before="40" w:after="80"/>
      </w:pPr>
      <w:r>
        <w:rPr>
          <w:b/>
        </w:rPr>
        <w:t>Step 1 — Risk Factor Path Generation (GBM / Hull-White):</w:t>
      </w:r>
    </w:p>
    <w:p w14:paraId="10EF0054" w14:textId="77777777" w:rsidR="008A18DA" w:rsidRDefault="00000000">
      <w:pPr>
        <w:spacing w:before="40" w:after="80"/>
      </w:pPr>
      <w:r>
        <w:t>For equity and FX (Geometric Brownian Motion):</w:t>
      </w:r>
    </w:p>
    <w:p w14:paraId="3BEC5EF9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$$S(t+\Delta t) = S(t) \cdot \exp\left[\left(\mu - \frac{\sigma^2}{2}\right)\Delta t + \sigma\sqrt{\Delta t}\,Z\right]$$</w:t>
      </w:r>
    </w:p>
    <w:p w14:paraId="760459BC" w14:textId="77777777" w:rsidR="008A18DA" w:rsidRDefault="00000000">
      <w:pPr>
        <w:spacing w:before="40" w:after="80"/>
      </w:pPr>
      <w:r>
        <w:t>For interest rates (Hull-White 1-Factor):</w:t>
      </w:r>
    </w:p>
    <w:p w14:paraId="1FF374FD" w14:textId="77777777" w:rsidR="008A18DA" w:rsidRPr="0067037A" w:rsidRDefault="00000000">
      <w:pPr>
        <w:shd w:val="clear" w:color="auto" w:fill="F4F4F4"/>
        <w:spacing w:after="0"/>
        <w:ind w:left="432"/>
        <w:rPr>
          <w:lang w:val="fr-FR"/>
        </w:rPr>
      </w:pPr>
      <w:r w:rsidRPr="0067037A">
        <w:rPr>
          <w:rFonts w:ascii="Courier New" w:hAnsi="Courier New"/>
          <w:color w:val="2D2D2D"/>
          <w:sz w:val="17"/>
          <w:lang w:val="fr-FR"/>
        </w:rPr>
        <w:t>$$dr(t) = \kappa\,[\theta - r(t)]\,dt + \sigma_r\,dW(t)$$</w:t>
      </w:r>
    </w:p>
    <w:p w14:paraId="59DBD2C5" w14:textId="77777777" w:rsidR="008A18DA" w:rsidRDefault="00000000">
      <w:pPr>
        <w:spacing w:before="40" w:after="80"/>
      </w:pPr>
      <w:r>
        <w:t>Antithetic variance reduction doubles effective scenario count: for each random vector Z, −Z is also simulated.</w:t>
      </w:r>
    </w:p>
    <w:p w14:paraId="6131A6A2" w14:textId="77777777" w:rsidR="008A18DA" w:rsidRDefault="00000000">
      <w:pPr>
        <w:spacing w:before="40" w:after="80"/>
      </w:pPr>
      <w:r>
        <w:rPr>
          <w:b/>
        </w:rPr>
        <w:t>Step 2 — Portfolio Revaluation:</w:t>
      </w:r>
    </w:p>
    <w:p w14:paraId="48D2713D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$$\text{NPV}[t, \text{scenario}] = \sum_k \text{TradeValue}_k(t, \text{scenario})$$</w:t>
      </w:r>
    </w:p>
    <w:p w14:paraId="4C4F0993" w14:textId="77777777" w:rsidR="008A18DA" w:rsidRDefault="00000000">
      <w:pPr>
        <w:spacing w:before="40" w:after="80"/>
      </w:pPr>
      <w:r>
        <w:rPr>
          <w:b/>
        </w:rPr>
        <w:t>Step 3 — CSA-Adjusted Exposure:</w:t>
      </w:r>
    </w:p>
    <w:p w14:paraId="0F2F3322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$$\text{Exposure}[t, s] = \max\left(\text{NPV}[t,s] - \text{Collateral}[t,s],\ 0\right)$$</w:t>
      </w:r>
    </w:p>
    <w:p w14:paraId="20C953F4" w14:textId="77777777" w:rsidR="008A18DA" w:rsidRDefault="00000000">
      <w:pPr>
        <w:spacing w:before="40" w:after="80"/>
      </w:pPr>
      <w:r>
        <w:rPr>
          <w:b/>
        </w:rPr>
        <w:t>Step 4 — Expected Exposure and EEPE:</w:t>
      </w:r>
    </w:p>
    <w:p w14:paraId="66A67EBF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$$\text{EE}(t) = \frac{1}{N}\sum_{s=1}^{N} \text{Exposure}[t, s]$$</w:t>
      </w:r>
    </w:p>
    <w:p w14:paraId="1C594DB0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$$\text{EEPE} = \frac{1}{T_1}\int_0^{T_1} \text{EEE}(t)\,dt \approx \frac{1}{T}\sum_{t=1}^{T}\text{EEE}(t)$$</w:t>
      </w:r>
    </w:p>
    <w:p w14:paraId="29062CC9" w14:textId="77777777" w:rsidR="008A18DA" w:rsidRDefault="00000000">
      <w:pPr>
        <w:spacing w:before="40" w:after="80"/>
      </w:pPr>
      <w:r>
        <w:rPr>
          <w:b/>
        </w:rPr>
        <w:t>Step 5 — EAD:</w:t>
      </w:r>
    </w:p>
    <w:p w14:paraId="6CF0D84F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lastRenderedPageBreak/>
        <w:t>$$\text{EAD}_\text{IMM} = \alpha \cdot \text{EEPE}, \quad \alpha = 1.4$$</w:t>
      </w:r>
    </w:p>
    <w:p w14:paraId="6EA73EDD" w14:textId="77777777" w:rsidR="008A18DA" w:rsidRDefault="00000000">
      <w:pPr>
        <w:spacing w:before="40" w:after="80"/>
      </w:pPr>
      <w:r>
        <w:rPr>
          <w:b/>
        </w:rPr>
        <w:t>Step 6 — Stressed EEPE:</w:t>
      </w:r>
    </w:p>
    <w:p w14:paraId="2123A158" w14:textId="77777777" w:rsidR="008A18DA" w:rsidRDefault="00000000">
      <w:pPr>
        <w:spacing w:before="40" w:after="80"/>
      </w:pPr>
      <w:r>
        <w:t>Paths are generated using volatility parameters calibrated to the 2007–2009 window (</w:t>
      </w:r>
      <w:r>
        <w:rPr>
          <w:rFonts w:ascii="Courier New" w:hAnsi="Courier New"/>
        </w:rPr>
        <w:t>stressed_vol ≈ 40%</w:t>
      </w:r>
      <w:r>
        <w:t xml:space="preserve"> vs. </w:t>
      </w:r>
      <w:r>
        <w:rPr>
          <w:rFonts w:ascii="Courier New" w:hAnsi="Courier New"/>
        </w:rPr>
        <w:t>vol ≈ 20%</w:t>
      </w:r>
      <w:r>
        <w:t xml:space="preserve"> normal), producing </w:t>
      </w:r>
      <w:r>
        <w:rPr>
          <w:rFonts w:ascii="Courier New" w:hAnsi="Courier New"/>
        </w:rPr>
        <w:t>EAD_stressed = α × EEPE_stressed</w:t>
      </w:r>
      <w:r>
        <w:t>.</w:t>
      </w:r>
    </w:p>
    <w:p w14:paraId="6EF16696" w14:textId="77777777" w:rsidR="008A18DA" w:rsidRDefault="008A18DA">
      <w:pPr>
        <w:pBdr>
          <w:bottom w:val="single" w:sz="6" w:space="1" w:color="9B111E"/>
        </w:pBdr>
      </w:pPr>
    </w:p>
    <w:p w14:paraId="3DF97C7B" w14:textId="77777777" w:rsidR="008A18DA" w:rsidRDefault="00000000">
      <w:pPr>
        <w:pStyle w:val="Heading3"/>
      </w:pPr>
      <w:r>
        <w:t>8.2.4 Parameter Significance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A18DA" w14:paraId="05E364F3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1E2A3A"/>
            <w:vAlign w:val="center"/>
          </w:tcPr>
          <w:p w14:paraId="27295B6B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FFFFFF"/>
                <w:sz w:val="19"/>
              </w:rPr>
              <w:t>Parameter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1E2A3A"/>
            <w:vAlign w:val="center"/>
          </w:tcPr>
          <w:p w14:paraId="78A4DE73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FFFFFF"/>
                <w:sz w:val="19"/>
              </w:rPr>
              <w:t>Value / Config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1E2A3A"/>
            <w:vAlign w:val="center"/>
          </w:tcPr>
          <w:p w14:paraId="67F6E606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FFFFFF"/>
                <w:sz w:val="19"/>
              </w:rPr>
              <w:t>Significance</w:t>
            </w:r>
          </w:p>
        </w:tc>
      </w:tr>
      <w:tr w:rsidR="008A18DA" w14:paraId="0AAF5291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7FA47FE9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Scenarios (N)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64CC1257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2,000 (</w:t>
            </w:r>
            <w:r>
              <w:rPr>
                <w:rFonts w:ascii="Courier New" w:hAnsi="Courier New"/>
                <w:color w:val="C7254E"/>
                <w:sz w:val="17"/>
              </w:rPr>
              <w:t>IMM.num_scenarios</w:t>
            </w:r>
            <w:r>
              <w:rPr>
                <w:sz w:val="19"/>
              </w:rPr>
              <w:t>)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03E887D3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Statistical convergence; BCBS requires sufficient paths; capped for M1 RAM constraint (~40 MB)</w:t>
            </w:r>
          </w:p>
        </w:tc>
      </w:tr>
      <w:tr w:rsidR="008A18DA" w14:paraId="0E01159E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02FF3EE6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Time Steps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151CB634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52 weekly (</w:t>
            </w:r>
            <w:r>
              <w:rPr>
                <w:rFonts w:ascii="Courier New" w:hAnsi="Courier New"/>
                <w:color w:val="C7254E"/>
                <w:sz w:val="17"/>
              </w:rPr>
              <w:t>IMM.time_steps</w:t>
            </w:r>
            <w:r>
              <w:rPr>
                <w:sz w:val="19"/>
              </w:rPr>
              <w:t>)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0986A8A9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Weekly revaluation over 1-year horizon; balances granularity and compute</w:t>
            </w:r>
          </w:p>
        </w:tc>
      </w:tr>
      <w:tr w:rsidR="008A18DA" w14:paraId="0418E2F8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5AA7070B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Alpha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54C6171F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1.4 (</w:t>
            </w:r>
            <w:r>
              <w:rPr>
                <w:rFonts w:ascii="Courier New" w:hAnsi="Courier New"/>
                <w:color w:val="C7254E"/>
                <w:sz w:val="17"/>
              </w:rPr>
              <w:t>IMM.alpha</w:t>
            </w:r>
            <w:r>
              <w:rPr>
                <w:sz w:val="19"/>
              </w:rPr>
              <w:t>)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4E71F034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Same as SA-CCR; regulatory conservatism multiplier</w:t>
            </w:r>
          </w:p>
        </w:tc>
      </w:tr>
      <w:tr w:rsidR="008A18DA" w14:paraId="5E711079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49C80309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GBM drift (μ)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192939ED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0.05 (5% p.a.)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5DA001C7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Risk-neutral drift for equity and FX paths</w:t>
            </w:r>
          </w:p>
        </w:tc>
      </w:tr>
      <w:tr w:rsidR="008A18DA" w14:paraId="241BE39F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3291E25A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GBM volatility (σ)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21A55BDB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0.20 normal; 0.40 stressed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5FC1AD22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Normal from historical calibration; stressed from 2007–09 window</w:t>
            </w:r>
          </w:p>
        </w:tc>
      </w:tr>
      <w:tr w:rsidR="008A18DA" w14:paraId="51382AFE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5CF7FE50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Hull-White mean reversion (κ)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30E41BB4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0.10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3A079DA9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Speed at which rates revert to long-run mean; higher κ = faster reversion</w:t>
            </w:r>
          </w:p>
        </w:tc>
      </w:tr>
      <w:tr w:rsidR="008A18DA" w14:paraId="304F6834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72D640DD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Hull-White long-run rate (θ)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20836263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0.045 (4.5%)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6B622C6E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OIS forward curve long-run calibration anchor</w:t>
            </w:r>
          </w:p>
        </w:tc>
      </w:tr>
      <w:tr w:rsidR="008A18DA" w14:paraId="10FB1D65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715D7079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IR volatility (σ_r)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28B0CD24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0.015 normal; 0.030 stressed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21BAA93C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Interest rate shock magnitude per unit of time</w:t>
            </w:r>
          </w:p>
        </w:tc>
      </w:tr>
      <w:tr w:rsidR="008A18DA" w14:paraId="74B793F9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0CA360D2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MPOR (days)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72C60372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10 margined; 20 unmargined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317F1E3B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Lag between counterparty default and collateral replacement; drives CSA path delay</w:t>
            </w:r>
          </w:p>
        </w:tc>
      </w:tr>
      <w:tr w:rsidR="008A18DA" w14:paraId="402EF49C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41B4AFCB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Stress window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4BC8CDA5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2007-06-01 to 2009-06-30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7186170B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BCBS-prescribed crisis calibration period for stressed EEPE</w:t>
            </w:r>
          </w:p>
        </w:tc>
      </w:tr>
      <w:tr w:rsidR="008A18DA" w14:paraId="21CEC8A0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646AE900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Random seed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74798727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42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7542E16B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Reproducibility for audit and regression testing</w:t>
            </w:r>
          </w:p>
        </w:tc>
      </w:tr>
      <w:tr w:rsidR="008A18DA" w14:paraId="645E93F5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14F35441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Confidence Level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55F408F2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95th percentile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0E0802C2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For PFE profile reporting (not the EAD measure)</w:t>
            </w:r>
          </w:p>
        </w:tc>
      </w:tr>
    </w:tbl>
    <w:p w14:paraId="1B5F02C9" w14:textId="77777777" w:rsidR="008A18DA" w:rsidRDefault="008A18DA"/>
    <w:p w14:paraId="26FA9843" w14:textId="77777777" w:rsidR="008A18DA" w:rsidRDefault="008A18DA">
      <w:pPr>
        <w:pBdr>
          <w:bottom w:val="single" w:sz="6" w:space="1" w:color="9B111E"/>
        </w:pBdr>
      </w:pPr>
    </w:p>
    <w:p w14:paraId="76B00180" w14:textId="77777777" w:rsidR="008A18DA" w:rsidRDefault="00000000">
      <w:pPr>
        <w:pStyle w:val="Heading3"/>
      </w:pPr>
      <w:r>
        <w:t>8.2.5 Key Success Criteria</w:t>
      </w:r>
    </w:p>
    <w:p w14:paraId="5936906C" w14:textId="77777777" w:rsidR="008A18DA" w:rsidRDefault="00000000">
      <w:pPr>
        <w:pStyle w:val="ListBullet"/>
        <w:spacing w:before="20" w:after="40"/>
      </w:pPr>
      <w:r>
        <w:t>EEPE convergence: variance of EEPE &lt; 1% between 2,000 and 10,000 scenario runs</w:t>
      </w:r>
    </w:p>
    <w:p w14:paraId="1D4F61EB" w14:textId="77777777" w:rsidR="008A18DA" w:rsidRDefault="00000000">
      <w:pPr>
        <w:pStyle w:val="ListBullet"/>
        <w:spacing w:before="20" w:after="40"/>
      </w:pPr>
      <w:r>
        <w:t>Stressed EAD consistently exceeds normal EAD (confirms crisis calibration is binding)</w:t>
      </w:r>
    </w:p>
    <w:p w14:paraId="096C3051" w14:textId="77777777" w:rsidR="008A18DA" w:rsidRDefault="00000000">
      <w:pPr>
        <w:pStyle w:val="ListBullet"/>
        <w:spacing w:before="20" w:after="40"/>
      </w:pPr>
      <w:r>
        <w:t>CSA-adjusted EAD &lt; uncollateralised EAD (confirms collateral benefit is captured)</w:t>
      </w:r>
    </w:p>
    <w:p w14:paraId="168652E5" w14:textId="77777777" w:rsidR="008A18DA" w:rsidRDefault="00000000">
      <w:pPr>
        <w:pStyle w:val="ListBullet"/>
        <w:spacing w:before="20" w:after="40"/>
      </w:pPr>
      <w:r>
        <w:t xml:space="preserve">IMM floor check: EAD_IMM_CSA &lt; 50% × EAD_SA-CCR triggers FALLBACK trace code logged with </w:t>
      </w:r>
      <w:r>
        <w:rPr>
          <w:rFonts w:ascii="Courier New" w:hAnsi="Courier New"/>
          <w:color w:val="C7254E"/>
          <w:sz w:val="18"/>
        </w:rPr>
        <w:t>REGULATORY_FLOOR|CRE53.5</w:t>
      </w:r>
    </w:p>
    <w:p w14:paraId="3A26C8E6" w14:textId="77777777" w:rsidR="008A18DA" w:rsidRDefault="00000000">
      <w:pPr>
        <w:pStyle w:val="ListBullet"/>
        <w:spacing w:before="20" w:after="40"/>
      </w:pPr>
      <w:r>
        <w:lastRenderedPageBreak/>
        <w:t>8/8 IMM unit tests pass including GBM, Hull-White, CSA path-level modelling</w:t>
      </w:r>
    </w:p>
    <w:p w14:paraId="7CF5F1BF" w14:textId="77777777" w:rsidR="008A18DA" w:rsidRDefault="008A18DA">
      <w:pPr>
        <w:pBdr>
          <w:bottom w:val="single" w:sz="6" w:space="1" w:color="9B111E"/>
        </w:pBdr>
      </w:pPr>
    </w:p>
    <w:p w14:paraId="0248368F" w14:textId="77777777" w:rsidR="008A18DA" w:rsidRDefault="00000000">
      <w:pPr>
        <w:pStyle w:val="Heading2"/>
      </w:pPr>
      <w:r>
        <w:t>FR-003: A-IRB Credit Risk Engine — Advanced Internal Ratings-Based Approach</w:t>
      </w:r>
    </w:p>
    <w:p w14:paraId="2761BD54" w14:textId="77777777" w:rsidR="008A18DA" w:rsidRDefault="00000000">
      <w:pPr>
        <w:spacing w:before="40" w:after="80"/>
      </w:pPr>
      <w:r>
        <w:rPr>
          <w:b/>
        </w:rPr>
        <w:t>Basel Standard:</w:t>
      </w:r>
      <w:r>
        <w:t xml:space="preserve"> CRE30–36</w:t>
      </w:r>
    </w:p>
    <w:p w14:paraId="6BA90DE4" w14:textId="77777777" w:rsidR="008A18DA" w:rsidRDefault="00000000">
      <w:pPr>
        <w:spacing w:before="40" w:after="80"/>
      </w:pPr>
      <w:r>
        <w:rPr>
          <w:b/>
        </w:rPr>
        <w:t>Priority:</w:t>
      </w:r>
      <w:r>
        <w:t xml:space="preserve"> CRITICAL</w:t>
      </w:r>
    </w:p>
    <w:p w14:paraId="4F86D485" w14:textId="77777777" w:rsidR="008A18DA" w:rsidRDefault="00000000">
      <w:pPr>
        <w:spacing w:before="40" w:after="80"/>
      </w:pPr>
      <w:r>
        <w:rPr>
          <w:b/>
        </w:rPr>
        <w:t>Owner:</w:t>
      </w:r>
      <w:r>
        <w:t xml:space="preserve"> Credit Risk Team</w:t>
      </w:r>
    </w:p>
    <w:p w14:paraId="0293D35A" w14:textId="77777777" w:rsidR="008A18DA" w:rsidRDefault="00000000">
      <w:pPr>
        <w:spacing w:before="40" w:after="80"/>
      </w:pPr>
      <w:r>
        <w:rPr>
          <w:b/>
        </w:rPr>
        <w:t>File:</w:t>
      </w:r>
      <w:r>
        <w:t xml:space="preserve"> </w:t>
      </w:r>
      <w:r>
        <w:rPr>
          <w:rFonts w:ascii="Courier New" w:hAnsi="Courier New"/>
        </w:rPr>
        <w:t>backend/engines/a_irb.py</w:t>
      </w:r>
    </w:p>
    <w:p w14:paraId="7C1FDFC9" w14:textId="77777777" w:rsidR="008A18DA" w:rsidRDefault="008A18DA">
      <w:pPr>
        <w:pBdr>
          <w:bottom w:val="single" w:sz="6" w:space="1" w:color="9B111E"/>
        </w:pBdr>
      </w:pPr>
    </w:p>
    <w:p w14:paraId="6DD915C9" w14:textId="77777777" w:rsidR="008A18DA" w:rsidRDefault="00000000">
      <w:pPr>
        <w:pStyle w:val="Heading3"/>
      </w:pPr>
      <w:r>
        <w:t>8.3.1 Use Case</w:t>
      </w:r>
    </w:p>
    <w:p w14:paraId="3C25A2DA" w14:textId="77777777" w:rsidR="008A18DA" w:rsidRDefault="00000000">
      <w:pPr>
        <w:spacing w:before="40" w:after="80"/>
      </w:pPr>
      <w:r>
        <w:t xml:space="preserve">The A-IRB engine calculates </w:t>
      </w:r>
      <w:r>
        <w:rPr>
          <w:b/>
        </w:rPr>
        <w:t>Credit RWA</w:t>
      </w:r>
      <w:r>
        <w:t xml:space="preserve"> for the banking book — loans, revolving facilities, mortgages, and other non-traded credit exposures. By using the bank's own internal estimates of PD, LGD, and EAD (subject to regulatory floors), A-IRB produces significantly more risk-sensitive capital requirements than the Credit Standardised Approach (CSA), typically reducing credit RWA by 25–40% for well-rated portfolios.</w:t>
      </w:r>
    </w:p>
    <w:p w14:paraId="0AE54F27" w14:textId="77777777" w:rsidR="008A18DA" w:rsidRDefault="00000000">
      <w:pPr>
        <w:spacing w:before="40" w:after="80"/>
      </w:pPr>
      <w:r>
        <w:t>The engine also supports:</w:t>
      </w:r>
    </w:p>
    <w:p w14:paraId="1A1A495C" w14:textId="77777777" w:rsidR="008A18DA" w:rsidRDefault="00000000">
      <w:pPr>
        <w:pStyle w:val="ListBullet"/>
        <w:spacing w:before="20" w:after="40"/>
      </w:pPr>
      <w:r>
        <w:rPr>
          <w:b/>
          <w:color w:val="1E2A3A"/>
        </w:rPr>
        <w:t>Double-default treatment</w:t>
      </w:r>
      <w:r>
        <w:t xml:space="preserve"> for CDS-protected exposures (CRE22), reducing capital for guaranteed credit</w:t>
      </w:r>
    </w:p>
    <w:p w14:paraId="7D7D1F1E" w14:textId="77777777" w:rsidR="008A18DA" w:rsidRDefault="00000000">
      <w:pPr>
        <w:pStyle w:val="ListBullet"/>
        <w:spacing w:before="20" w:after="40"/>
      </w:pPr>
      <w:r>
        <w:rPr>
          <w:b/>
          <w:color w:val="1E2A3A"/>
        </w:rPr>
        <w:t>EL shortfall calculation</w:t>
      </w:r>
      <w:r>
        <w:t xml:space="preserve"> (CRE35): if EL &gt; provisions, the shortfall deducts from CET1 capital</w:t>
      </w:r>
    </w:p>
    <w:p w14:paraId="441FB3CA" w14:textId="77777777" w:rsidR="008A18DA" w:rsidRDefault="00000000">
      <w:pPr>
        <w:pStyle w:val="ListBullet"/>
        <w:spacing w:before="20" w:after="40"/>
      </w:pPr>
      <w:r>
        <w:rPr>
          <w:b/>
          <w:color w:val="1E2A3A"/>
        </w:rPr>
        <w:t>SME adjustment</w:t>
      </w:r>
      <w:r>
        <w:t>: lower correlation for SME obligors (CRE31.9), reducing SME capital requirements</w:t>
      </w:r>
    </w:p>
    <w:p w14:paraId="0F4129D2" w14:textId="77777777" w:rsidR="008A18DA" w:rsidRDefault="00000000">
      <w:pPr>
        <w:pStyle w:val="ListBullet"/>
        <w:spacing w:before="20" w:after="40"/>
      </w:pPr>
      <w:r>
        <w:rPr>
          <w:b/>
          <w:color w:val="1E2A3A"/>
        </w:rPr>
        <w:t>Sector-based correlation adjustments</w:t>
      </w:r>
      <w:r>
        <w:t xml:space="preserve"> for Financials, Real Estate, Retail, and other sectors</w:t>
      </w:r>
    </w:p>
    <w:p w14:paraId="51EE242C" w14:textId="77777777" w:rsidR="008A18DA" w:rsidRDefault="008A18DA">
      <w:pPr>
        <w:pBdr>
          <w:bottom w:val="single" w:sz="6" w:space="1" w:color="9B111E"/>
        </w:pBdr>
      </w:pPr>
    </w:p>
    <w:p w14:paraId="37EE7F61" w14:textId="77777777" w:rsidR="008A18DA" w:rsidRDefault="00000000">
      <w:pPr>
        <w:pStyle w:val="Heading3"/>
      </w:pPr>
      <w:r>
        <w:t>8.3.2 Basel Context</w:t>
      </w:r>
    </w:p>
    <w:p w14:paraId="53998C72" w14:textId="77777777" w:rsidR="008A18DA" w:rsidRDefault="00000000">
      <w:pPr>
        <w:spacing w:before="40" w:after="80"/>
      </w:pPr>
      <w:r>
        <w:t xml:space="preserve">The A-IRB approach under CRE31 is built on the </w:t>
      </w:r>
      <w:r>
        <w:rPr>
          <w:b/>
        </w:rPr>
        <w:t>Asymptotic Single Risk Factor (ASRF)</w:t>
      </w:r>
      <w:r>
        <w:t xml:space="preserve"> model. The key assumptions are:</w:t>
      </w:r>
    </w:p>
    <w:p w14:paraId="44ADD3F2" w14:textId="77777777" w:rsidR="008A18DA" w:rsidRDefault="00000000">
      <w:pPr>
        <w:pStyle w:val="ListNumber"/>
        <w:spacing w:before="20" w:after="40"/>
      </w:pPr>
      <w:r>
        <w:t>All systematic risk derives from a single global factor (the state of the economy)</w:t>
      </w:r>
    </w:p>
    <w:p w14:paraId="5BA8BF48" w14:textId="77777777" w:rsidR="008A18DA" w:rsidRDefault="00000000">
      <w:pPr>
        <w:pStyle w:val="ListNumber"/>
        <w:spacing w:before="20" w:after="40"/>
      </w:pPr>
      <w:r>
        <w:t>Idiosyncratic risk diversifies away in large portfolios</w:t>
      </w:r>
    </w:p>
    <w:p w14:paraId="73BF1B39" w14:textId="77777777" w:rsidR="008A18DA" w:rsidRDefault="00000000">
      <w:pPr>
        <w:pStyle w:val="ListNumber"/>
        <w:spacing w:before="20" w:after="40"/>
      </w:pPr>
      <w:r>
        <w:t>Correlations between borrowers are driven by their common exposure to the economic factor</w:t>
      </w:r>
    </w:p>
    <w:p w14:paraId="05845365" w14:textId="77777777" w:rsidR="008A18DA" w:rsidRDefault="00000000">
      <w:pPr>
        <w:spacing w:before="40" w:after="80"/>
      </w:pPr>
      <w:r>
        <w:t>This model yields a closed-form capital formula, but at the cost of requiring banks to estimate PD and LGD with statistical rigour subject to:</w:t>
      </w:r>
    </w:p>
    <w:p w14:paraId="407FFC91" w14:textId="77777777" w:rsidR="008A18DA" w:rsidRDefault="00000000">
      <w:pPr>
        <w:pStyle w:val="ListBullet"/>
        <w:spacing w:before="20" w:after="40"/>
      </w:pPr>
      <w:r>
        <w:rPr>
          <w:b/>
          <w:color w:val="1E2A3A"/>
        </w:rPr>
        <w:t>PD floor:</w:t>
      </w:r>
      <w:r>
        <w:t xml:space="preserve"> 0.03% (3 basis points) — CRE31.4</w:t>
      </w:r>
    </w:p>
    <w:p w14:paraId="09092D55" w14:textId="77777777" w:rsidR="008A18DA" w:rsidRDefault="00000000">
      <w:pPr>
        <w:pStyle w:val="ListBullet"/>
        <w:spacing w:before="20" w:after="40"/>
      </w:pPr>
      <w:r>
        <w:rPr>
          <w:b/>
          <w:color w:val="1E2A3A"/>
        </w:rPr>
        <w:t>LGD floor (unsecured):</w:t>
      </w:r>
      <w:r>
        <w:t xml:space="preserve"> 25% — CRE32</w:t>
      </w:r>
    </w:p>
    <w:p w14:paraId="401CC383" w14:textId="77777777" w:rsidR="008A18DA" w:rsidRDefault="00000000">
      <w:pPr>
        <w:pStyle w:val="ListBullet"/>
        <w:spacing w:before="20" w:after="40"/>
      </w:pPr>
      <w:r>
        <w:rPr>
          <w:b/>
          <w:color w:val="1E2A3A"/>
        </w:rPr>
        <w:t>Maturity floor/cap:</w:t>
      </w:r>
      <w:r>
        <w:t xml:space="preserve"> 1 year to 5 years</w:t>
      </w:r>
    </w:p>
    <w:p w14:paraId="2A8543D2" w14:textId="77777777" w:rsidR="008A18DA" w:rsidRDefault="008A18DA">
      <w:pPr>
        <w:pBdr>
          <w:bottom w:val="single" w:sz="6" w:space="1" w:color="9B111E"/>
        </w:pBdr>
      </w:pPr>
    </w:p>
    <w:p w14:paraId="558790DA" w14:textId="77777777" w:rsidR="008A18DA" w:rsidRDefault="00000000">
      <w:pPr>
        <w:pStyle w:val="Heading3"/>
      </w:pPr>
      <w:r>
        <w:t>8.3.3 Functional Objective of Calculations</w:t>
      </w:r>
    </w:p>
    <w:p w14:paraId="4CCCD290" w14:textId="77777777" w:rsidR="008A18DA" w:rsidRDefault="00000000">
      <w:pPr>
        <w:spacing w:before="40" w:after="80"/>
      </w:pPr>
      <w:r>
        <w:rPr>
          <w:b/>
        </w:rPr>
        <w:t>Step 1 — Apply Regulatory Floors:</w:t>
      </w:r>
    </w:p>
    <w:p w14:paraId="68B6B035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$$PD_\text{adj} = \max(PD,\ 0.0003)$$</w:t>
      </w:r>
    </w:p>
    <w:p w14:paraId="4392CF8C" w14:textId="77777777" w:rsidR="008A18DA" w:rsidRDefault="00000000">
      <w:pPr>
        <w:spacing w:before="40" w:after="80"/>
      </w:pPr>
      <w:r>
        <w:rPr>
          <w:b/>
        </w:rPr>
        <w:lastRenderedPageBreak/>
        <w:t>Step 2 — Asset Correlation (CRE31.3):</w:t>
      </w:r>
    </w:p>
    <w:p w14:paraId="72311615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$$R = 0.12 \cdot \frac{1 - e^{-50 \cdot PD}}{1 - e^{-50}} + 0.24 \cdot \left[1 - \frac{1 - e^{-50 \cdot PD}}{1 - e^{-50}}\right]$$</w:t>
      </w:r>
    </w:p>
    <w:p w14:paraId="602916DE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$$R_\text{SME} = R - 0.04 \cdot \left(1 - \frac{S - 5}{45}\right)$$</w:t>
      </w:r>
    </w:p>
    <w:p w14:paraId="235F2A6D" w14:textId="77777777" w:rsidR="008A18DA" w:rsidRDefault="00000000">
      <w:pPr>
        <w:spacing w:before="40" w:after="80"/>
      </w:pPr>
      <w:r>
        <w:rPr>
          <w:b/>
        </w:rPr>
        <w:t>Step 3 — Maturity Adjustment (CRE31.7):</w:t>
      </w:r>
    </w:p>
    <w:p w14:paraId="14EB6108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$$b = (0.11852 - 0.05478 \cdot \ln PD)^2$$</w:t>
      </w:r>
    </w:p>
    <w:p w14:paraId="24F623AF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$$\text{MA} = \frac{1 + (M_\text{adj} - 2.5) \cdot b}{1 - 1.5 \cdot b}$$</w:t>
      </w:r>
    </w:p>
    <w:p w14:paraId="11C3B7C2" w14:textId="77777777" w:rsidR="008A18DA" w:rsidRDefault="00000000">
      <w:pPr>
        <w:spacing w:before="40" w:after="80"/>
      </w:pPr>
      <w:r>
        <w:rPr>
          <w:b/>
        </w:rPr>
        <w:t>Step 4 — Capital Requirement (K):</w:t>
      </w:r>
    </w:p>
    <w:p w14:paraId="1C6D5662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$$K = \left[LGD \cdot \Phi\!\left(\frac{\Phi^{-1}(PD)}{\sqrt{1 - R}} + \sqrt{\frac{R}{1-R}}\,\Phi^{-1}(0.999)\right) - PD \cdot LGD\right] \cdot \text{MA}$$</w:t>
      </w:r>
    </w:p>
    <w:p w14:paraId="2997BD54" w14:textId="77777777" w:rsidR="008A18DA" w:rsidRDefault="00000000">
      <w:pPr>
        <w:spacing w:before="40" w:after="80"/>
      </w:pPr>
      <w:r>
        <w:rPr>
          <w:b/>
        </w:rPr>
        <w:t>Step 5 — RWA:</w:t>
      </w:r>
    </w:p>
    <w:p w14:paraId="3D46FD2F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$$\text{RWA} = K \times 12.5 \times \text{EAD}$$</w:t>
      </w:r>
    </w:p>
    <w:p w14:paraId="676BBA5B" w14:textId="77777777" w:rsidR="008A18DA" w:rsidRDefault="00000000">
      <w:pPr>
        <w:spacing w:before="40" w:after="80"/>
      </w:pPr>
      <w:r>
        <w:rPr>
          <w:b/>
        </w:rPr>
        <w:t>Step 6 — Expected Loss (EL) Shortfall (CRE35):</w:t>
      </w:r>
    </w:p>
    <w:p w14:paraId="2AD91D6F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$$\text{EL} = PD \times LGD \times \text{EAD}$$</w:t>
      </w:r>
    </w:p>
    <w:p w14:paraId="664B0623" w14:textId="77777777" w:rsidR="008A18DA" w:rsidRDefault="008A18DA">
      <w:pPr>
        <w:pBdr>
          <w:bottom w:val="single" w:sz="6" w:space="1" w:color="9B111E"/>
        </w:pBdr>
      </w:pPr>
    </w:p>
    <w:p w14:paraId="67374C3F" w14:textId="77777777" w:rsidR="008A18DA" w:rsidRDefault="00000000">
      <w:pPr>
        <w:pStyle w:val="Heading3"/>
      </w:pPr>
      <w:r>
        <w:t>8.3.4 Parameter Significance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A18DA" w14:paraId="04386B5C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1E2A3A"/>
            <w:vAlign w:val="center"/>
          </w:tcPr>
          <w:p w14:paraId="4F74FD6E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FFFFFF"/>
                <w:sz w:val="19"/>
              </w:rPr>
              <w:t>Parameter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1E2A3A"/>
            <w:vAlign w:val="center"/>
          </w:tcPr>
          <w:p w14:paraId="562B380E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FFFFFF"/>
                <w:sz w:val="19"/>
              </w:rPr>
              <w:t>Symbol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1E2A3A"/>
            <w:vAlign w:val="center"/>
          </w:tcPr>
          <w:p w14:paraId="53125BC8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FFFFFF"/>
                <w:sz w:val="19"/>
              </w:rPr>
              <w:t>Regulatory Source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1E2A3A"/>
            <w:vAlign w:val="center"/>
          </w:tcPr>
          <w:p w14:paraId="0257FAAD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FFFFFF"/>
                <w:sz w:val="19"/>
              </w:rPr>
              <w:t>Significance</w:t>
            </w:r>
          </w:p>
        </w:tc>
      </w:tr>
      <w:tr w:rsidR="008A18DA" w14:paraId="402608BD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037B57DC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Probability of Default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2DE63636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PD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73BA76AB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Bank internal model (CRE36)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536761F6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Annual probability borrower defaults; must be through-the-cycle (TTC) average; floored at 3bp</w:t>
            </w:r>
          </w:p>
        </w:tc>
      </w:tr>
      <w:tr w:rsidR="008A18DA" w14:paraId="0E4F9270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0E2A037E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Loss Given Default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7CD4C187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LGD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09114032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Bank internal model (CRE32)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75D88412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Fraction of EAD lost if default occurs; reflects collateral quality, recovery seniority</w:t>
            </w:r>
          </w:p>
        </w:tc>
      </w:tr>
      <w:tr w:rsidR="008A18DA" w14:paraId="0A700743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1DB19BBF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Effective Maturity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41B0A5AF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M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30D1065D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CRE31.7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5DEDE4D1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Weighted average cash-flow maturity; longer maturity → more uncertainty → higher capital</w:t>
            </w:r>
          </w:p>
        </w:tc>
      </w:tr>
      <w:tr w:rsidR="008A18DA" w14:paraId="2A09D01A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06D346F2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Exposure at Default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72556ED4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EAD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5289AEB4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SA-CCR for derivatives; drawn + CCF × undrawn for loans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07001A9E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Amount exposed at the point of default, including unfunded commitment utilisation</w:t>
            </w:r>
          </w:p>
        </w:tc>
      </w:tr>
      <w:tr w:rsidR="008A18DA" w14:paraId="3CC902D8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558151D5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Asset Correlation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5D2D30CB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R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29B5C279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CRE31.3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3CF276EC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Sensitivity to common economic factor; high R = systemic risk; varies 12–24% across PD range</w:t>
            </w:r>
          </w:p>
        </w:tc>
      </w:tr>
      <w:tr w:rsidR="008A18DA" w14:paraId="18698B7D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067EDA69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PD floor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4B8D9BA0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0.0003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12982CC8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CRE31.4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72FABE75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Prevents unrealistically low PD estimates; 3bp is BCBS minimum for any non-sovereign borrower</w:t>
            </w:r>
          </w:p>
        </w:tc>
      </w:tr>
      <w:tr w:rsidR="008A18DA" w14:paraId="46BDA177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2418ECFD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LGD floor (unsecured)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6B4870B0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0.25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5517F46A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CRE32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130876AE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 xml:space="preserve">25% minimum LGD; prevents banks understating loss in default; covered bonds / secured may have </w:t>
            </w:r>
            <w:r>
              <w:rPr>
                <w:sz w:val="19"/>
              </w:rPr>
              <w:lastRenderedPageBreak/>
              <w:t>lower LGD</w:t>
            </w:r>
          </w:p>
        </w:tc>
      </w:tr>
      <w:tr w:rsidR="008A18DA" w14:paraId="16516EF8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73E82B2B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lastRenderedPageBreak/>
              <w:t>Maturity floor/cap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2CCD01C4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1–5 years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4FC97A51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CRE31.7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7F666584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1-year floor prevents gaming with short-dated rollovers; 5-year cap prevents disproportionate long-maturity capital</w:t>
            </w:r>
          </w:p>
        </w:tc>
      </w:tr>
      <w:tr w:rsidR="008A18DA" w14:paraId="6D3FCB20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4D1AD6DE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ASRF confidence level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19B1D406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99.9%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561FA7B2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CRE31.1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17713660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One-year capital held to cover 99.9% of credit losses; calibrated to 1-in-1000 year loss</w:t>
            </w:r>
          </w:p>
        </w:tc>
      </w:tr>
      <w:tr w:rsidR="008A18DA" w14:paraId="326377E2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43608B0D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SME threshold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69C3584C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€50M sales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061F4F01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CRE31.9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7A268259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Obligors with &lt; €50M annual sales receive SME adjustment; reduces correlation → reduces capital</w:t>
            </w:r>
          </w:p>
        </w:tc>
      </w:tr>
      <w:tr w:rsidR="008A18DA" w14:paraId="1C5F639F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2CFAF3FE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Double-default factor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326F176A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p_g × p_o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6AE20390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CRE22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7BAFA525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For CDS-protected exposures: probability that both the obligor AND guarantor default simultaneously; materially reduces K</w:t>
            </w:r>
          </w:p>
        </w:tc>
      </w:tr>
    </w:tbl>
    <w:p w14:paraId="127D82E3" w14:textId="77777777" w:rsidR="008A18DA" w:rsidRDefault="008A18DA"/>
    <w:p w14:paraId="7412F3D0" w14:textId="77777777" w:rsidR="008A18DA" w:rsidRDefault="008A18DA">
      <w:pPr>
        <w:pBdr>
          <w:bottom w:val="single" w:sz="6" w:space="1" w:color="9B111E"/>
        </w:pBdr>
      </w:pPr>
    </w:p>
    <w:p w14:paraId="162058FE" w14:textId="77777777" w:rsidR="008A18DA" w:rsidRDefault="00000000">
      <w:pPr>
        <w:pStyle w:val="Heading3"/>
      </w:pPr>
      <w:r>
        <w:t>8.3.5 Key Success Criteria</w:t>
      </w:r>
    </w:p>
    <w:p w14:paraId="7202C76F" w14:textId="77777777" w:rsidR="008A18DA" w:rsidRDefault="00000000">
      <w:pPr>
        <w:pStyle w:val="ListBullet"/>
        <w:spacing w:before="20" w:after="40"/>
      </w:pPr>
      <w:r>
        <w:t>Capital requirement K matches Basel CRE31 formula output within numerical precision (&lt; 0.001%)</w:t>
      </w:r>
    </w:p>
    <w:p w14:paraId="6FA9F23F" w14:textId="77777777" w:rsidR="008A18DA" w:rsidRDefault="00000000">
      <w:pPr>
        <w:pStyle w:val="ListBullet"/>
        <w:spacing w:before="20" w:after="40"/>
      </w:pPr>
      <w:r>
        <w:t>SME adjustment correctly reduces RWA for eligible obligors</w:t>
      </w:r>
    </w:p>
    <w:p w14:paraId="65BF3D91" w14:textId="77777777" w:rsidR="008A18DA" w:rsidRDefault="00000000">
      <w:pPr>
        <w:pStyle w:val="ListBullet"/>
        <w:spacing w:before="20" w:after="40"/>
      </w:pPr>
      <w:r>
        <w:t>Double-default K is strictly less than single-name K for the same exposure</w:t>
      </w:r>
    </w:p>
    <w:p w14:paraId="74A9C60E" w14:textId="77777777" w:rsidR="008A18DA" w:rsidRDefault="00000000">
      <w:pPr>
        <w:pStyle w:val="ListBullet"/>
        <w:spacing w:before="20" w:after="40"/>
      </w:pPr>
      <w:r>
        <w:t>EL shortfall correctly triggers CET1 deduction when shortfall &gt; 0</w:t>
      </w:r>
    </w:p>
    <w:p w14:paraId="301FF3E2" w14:textId="77777777" w:rsidR="008A18DA" w:rsidRDefault="00000000">
      <w:pPr>
        <w:pStyle w:val="ListBullet"/>
        <w:spacing w:before="20" w:after="40"/>
      </w:pPr>
      <w:r>
        <w:t>PD and LGD floor flags are recorded for each exposure in the trade results</w:t>
      </w:r>
    </w:p>
    <w:p w14:paraId="54DBF50D" w14:textId="77777777" w:rsidR="008A18DA" w:rsidRDefault="00000000">
      <w:pPr>
        <w:pStyle w:val="ListBullet"/>
        <w:spacing w:before="20" w:after="40"/>
      </w:pPr>
      <w:r>
        <w:t>10/10 A-IRB unit tests covering corporate, SME, secured, unsecured, and double-default pass</w:t>
      </w:r>
    </w:p>
    <w:p w14:paraId="1554C64C" w14:textId="77777777" w:rsidR="008A18DA" w:rsidRDefault="008A18DA">
      <w:pPr>
        <w:pBdr>
          <w:bottom w:val="single" w:sz="6" w:space="1" w:color="9B111E"/>
        </w:pBdr>
      </w:pPr>
    </w:p>
    <w:p w14:paraId="70480B87" w14:textId="77777777" w:rsidR="008A18DA" w:rsidRDefault="00000000">
      <w:pPr>
        <w:pStyle w:val="Heading2"/>
      </w:pPr>
      <w:r>
        <w:t>FR-004: FRTB Market Risk Engine — Fundamental Review of the Trading Book</w:t>
      </w:r>
    </w:p>
    <w:p w14:paraId="16EF238B" w14:textId="77777777" w:rsidR="008A18DA" w:rsidRDefault="00000000">
      <w:pPr>
        <w:spacing w:before="40" w:after="80"/>
      </w:pPr>
      <w:r>
        <w:rPr>
          <w:b/>
        </w:rPr>
        <w:t>Basel Standard:</w:t>
      </w:r>
      <w:r>
        <w:t xml:space="preserve"> MAR20–33</w:t>
      </w:r>
    </w:p>
    <w:p w14:paraId="6F335BBE" w14:textId="77777777" w:rsidR="008A18DA" w:rsidRDefault="00000000">
      <w:pPr>
        <w:spacing w:before="40" w:after="80"/>
      </w:pPr>
      <w:r>
        <w:rPr>
          <w:b/>
        </w:rPr>
        <w:t>Priority:</w:t>
      </w:r>
      <w:r>
        <w:t xml:space="preserve"> CRITICAL</w:t>
      </w:r>
    </w:p>
    <w:p w14:paraId="20537678" w14:textId="77777777" w:rsidR="008A18DA" w:rsidRDefault="00000000">
      <w:pPr>
        <w:spacing w:before="40" w:after="80"/>
      </w:pPr>
      <w:r>
        <w:rPr>
          <w:b/>
        </w:rPr>
        <w:t>Owner:</w:t>
      </w:r>
      <w:r>
        <w:t xml:space="preserve"> Market Risk Team</w:t>
      </w:r>
    </w:p>
    <w:p w14:paraId="3CF4A965" w14:textId="77777777" w:rsidR="008A18DA" w:rsidRDefault="00000000">
      <w:pPr>
        <w:spacing w:before="40" w:after="80"/>
      </w:pPr>
      <w:r>
        <w:rPr>
          <w:b/>
        </w:rPr>
        <w:t>File:</w:t>
      </w:r>
      <w:r>
        <w:t xml:space="preserve"> </w:t>
      </w:r>
      <w:r>
        <w:rPr>
          <w:rFonts w:ascii="Courier New" w:hAnsi="Courier New"/>
        </w:rPr>
        <w:t>backend/engines/frtb.py</w:t>
      </w:r>
      <w:r>
        <w:t xml:space="preserve"> (1,710 lines)</w:t>
      </w:r>
    </w:p>
    <w:p w14:paraId="11134C54" w14:textId="77777777" w:rsidR="008A18DA" w:rsidRDefault="008A18DA">
      <w:pPr>
        <w:pBdr>
          <w:bottom w:val="single" w:sz="6" w:space="1" w:color="9B111E"/>
        </w:pBdr>
      </w:pPr>
    </w:p>
    <w:p w14:paraId="2C63F4AE" w14:textId="77777777" w:rsidR="008A18DA" w:rsidRDefault="00000000">
      <w:pPr>
        <w:pStyle w:val="Heading3"/>
      </w:pPr>
      <w:r>
        <w:t>8.4.1 Use Case</w:t>
      </w:r>
    </w:p>
    <w:p w14:paraId="11AE799A" w14:textId="77777777" w:rsidR="008A18DA" w:rsidRDefault="00000000">
      <w:pPr>
        <w:spacing w:before="40" w:after="80"/>
      </w:pPr>
      <w:r>
        <w:t xml:space="preserve">The FRTB engine calculates </w:t>
      </w:r>
      <w:r>
        <w:rPr>
          <w:b/>
        </w:rPr>
        <w:t>Market Risk Capital</w:t>
      </w:r>
      <w:r>
        <w:t xml:space="preserve"> for the trading book. It implements both the Sensitivities-Based Method (SBM) and the Internal Models Approach (IMA) per MAR21–33, along with the Default Risk Charge (DRC), Residual Risk Add-On (RRAO), and a full backtesting framework under MAR99.</w:t>
      </w:r>
    </w:p>
    <w:p w14:paraId="6D7BB9DF" w14:textId="77777777" w:rsidR="008A18DA" w:rsidRDefault="00000000">
      <w:pPr>
        <w:spacing w:before="40" w:after="80"/>
      </w:pPr>
      <w:r>
        <w:lastRenderedPageBreak/>
        <w:t>The engine applies across all major risk classes:</w:t>
      </w:r>
    </w:p>
    <w:p w14:paraId="3E96914E" w14:textId="77777777" w:rsidR="008A18DA" w:rsidRDefault="00000000">
      <w:pPr>
        <w:pStyle w:val="ListBullet"/>
        <w:spacing w:before="20" w:after="40"/>
      </w:pPr>
      <w:r>
        <w:rPr>
          <w:b/>
          <w:color w:val="1E2A3A"/>
        </w:rPr>
        <w:t>GIRR:</w:t>
      </w:r>
      <w:r>
        <w:t xml:space="preserve"> General Interest Rate Risk (tenor-based sensitivity)</w:t>
      </w:r>
    </w:p>
    <w:p w14:paraId="31512964" w14:textId="77777777" w:rsidR="008A18DA" w:rsidRDefault="00000000">
      <w:pPr>
        <w:pStyle w:val="ListBullet"/>
        <w:spacing w:before="20" w:after="40"/>
      </w:pPr>
      <w:r>
        <w:rPr>
          <w:b/>
          <w:color w:val="1E2A3A"/>
        </w:rPr>
        <w:t>CSR_NS:</w:t>
      </w:r>
      <w:r>
        <w:t xml:space="preserve"> Credit Spread Risk — Non-Securitised</w:t>
      </w:r>
    </w:p>
    <w:p w14:paraId="11ADA2D2" w14:textId="77777777" w:rsidR="008A18DA" w:rsidRDefault="00000000">
      <w:pPr>
        <w:pStyle w:val="ListBullet"/>
        <w:spacing w:before="20" w:after="40"/>
      </w:pPr>
      <w:r>
        <w:rPr>
          <w:b/>
          <w:color w:val="1E2A3A"/>
        </w:rPr>
        <w:t>CSR_SEC:</w:t>
      </w:r>
      <w:r>
        <w:t xml:space="preserve"> Credit Spread Risk — Securitised</w:t>
      </w:r>
    </w:p>
    <w:p w14:paraId="4D4BFC53" w14:textId="77777777" w:rsidR="008A18DA" w:rsidRDefault="00000000">
      <w:pPr>
        <w:pStyle w:val="ListBullet"/>
        <w:spacing w:before="20" w:after="40"/>
      </w:pPr>
      <w:r>
        <w:rPr>
          <w:b/>
          <w:color w:val="1E2A3A"/>
        </w:rPr>
        <w:t>EQ:</w:t>
      </w:r>
      <w:r>
        <w:t xml:space="preserve"> Equity Risk (large-cap and small-cap)</w:t>
      </w:r>
    </w:p>
    <w:p w14:paraId="771BD22B" w14:textId="77777777" w:rsidR="008A18DA" w:rsidRDefault="00000000">
      <w:pPr>
        <w:pStyle w:val="ListBullet"/>
        <w:spacing w:before="20" w:after="40"/>
      </w:pPr>
      <w:r>
        <w:rPr>
          <w:b/>
          <w:color w:val="1E2A3A"/>
        </w:rPr>
        <w:t>FX:</w:t>
      </w:r>
      <w:r>
        <w:t xml:space="preserve"> Foreign Exchange Risk</w:t>
      </w:r>
    </w:p>
    <w:p w14:paraId="015AA98C" w14:textId="77777777" w:rsidR="008A18DA" w:rsidRDefault="00000000">
      <w:pPr>
        <w:pStyle w:val="ListBullet"/>
        <w:spacing w:before="20" w:after="40"/>
      </w:pPr>
      <w:r>
        <w:rPr>
          <w:b/>
          <w:color w:val="1E2A3A"/>
        </w:rPr>
        <w:t>CMDTY:</w:t>
      </w:r>
      <w:r>
        <w:t xml:space="preserve"> Commodity Risk (energy, metals, agriculture, other)</w:t>
      </w:r>
    </w:p>
    <w:p w14:paraId="0E26FEF5" w14:textId="77777777" w:rsidR="008A18DA" w:rsidRDefault="00000000">
      <w:pPr>
        <w:spacing w:before="40" w:after="80"/>
      </w:pPr>
      <w:r>
        <w:t xml:space="preserve">The engine also features </w:t>
      </w:r>
      <w:r>
        <w:rPr>
          <w:b/>
        </w:rPr>
        <w:t>real-time market condition integration</w:t>
      </w:r>
      <w:r>
        <w:t xml:space="preserve"> (</w:t>
      </w:r>
      <w:r>
        <w:rPr>
          <w:rFonts w:ascii="Courier New" w:hAnsi="Courier New"/>
        </w:rPr>
        <w:t>MarketRegime</w:t>
      </w:r>
      <w:r>
        <w:t xml:space="preserve">, </w:t>
      </w:r>
      <w:r>
        <w:rPr>
          <w:rFonts w:ascii="Courier New" w:hAnsi="Courier New"/>
        </w:rPr>
        <w:t>DynamicParameterAdjustment</w:t>
      </w:r>
      <w:r>
        <w:t>) that scales risk weights and correlations based on live VIX, HY spreads, and equity volatility — implementing a counter-cyclical buffer directly in the risk weight calculus.</w:t>
      </w:r>
    </w:p>
    <w:p w14:paraId="090FBF18" w14:textId="77777777" w:rsidR="008A18DA" w:rsidRDefault="008A18DA">
      <w:pPr>
        <w:pBdr>
          <w:bottom w:val="single" w:sz="6" w:space="1" w:color="9B111E"/>
        </w:pBdr>
      </w:pPr>
    </w:p>
    <w:p w14:paraId="3C22C2A4" w14:textId="77777777" w:rsidR="008A18DA" w:rsidRDefault="00000000">
      <w:pPr>
        <w:pStyle w:val="Heading3"/>
      </w:pPr>
      <w:r>
        <w:t>8.4.2 Basel Context</w:t>
      </w:r>
    </w:p>
    <w:p w14:paraId="1C91D147" w14:textId="77777777" w:rsidR="008A18DA" w:rsidRDefault="00000000">
      <w:pPr>
        <w:spacing w:before="40" w:after="80"/>
      </w:pPr>
      <w:r>
        <w:t>FRTB (Fundamental Review of the Trading Book) was introduced by BCBS in response to the Global Financial Crisis (2007–09), during which the pre-existing market risk framework (based on Value-at-Risk) proved inadequate. Key FRTB design principles:</w:t>
      </w:r>
    </w:p>
    <w:p w14:paraId="21165BCC" w14:textId="77777777" w:rsidR="008A18DA" w:rsidRDefault="00000000">
      <w:pPr>
        <w:pStyle w:val="ListNumber"/>
        <w:spacing w:before="20" w:after="40"/>
      </w:pPr>
      <w:r>
        <w:rPr>
          <w:b/>
          <w:color w:val="1E2A3A"/>
        </w:rPr>
        <w:t>Expected Shortfall (ES) replaces VaR</w:t>
      </w:r>
      <w:r>
        <w:t xml:space="preserve"> — ES is a coherent risk measure that captures tail risk beyond VaR; used at 97.5% confidence for IMA</w:t>
      </w:r>
    </w:p>
    <w:p w14:paraId="71CC7421" w14:textId="77777777" w:rsidR="008A18DA" w:rsidRDefault="00000000">
      <w:pPr>
        <w:pStyle w:val="ListNumber"/>
        <w:spacing w:before="20" w:after="40"/>
      </w:pPr>
      <w:r>
        <w:rPr>
          <w:b/>
          <w:color w:val="1E2A3A"/>
        </w:rPr>
        <w:t>Sensitivities-based SBM</w:t>
      </w:r>
      <w:r>
        <w:t xml:space="preserve"> replaces the original SA market risk approach — provides more granular, risk-sensitive capital</w:t>
      </w:r>
    </w:p>
    <w:p w14:paraId="4B8FF9B8" w14:textId="77777777" w:rsidR="008A18DA" w:rsidRDefault="00000000">
      <w:pPr>
        <w:pStyle w:val="ListNumber"/>
        <w:spacing w:before="20" w:after="40"/>
      </w:pPr>
      <w:r>
        <w:rPr>
          <w:b/>
          <w:color w:val="1E2A3A"/>
        </w:rPr>
        <w:t>Desk-level IMA approval</w:t>
      </w:r>
      <w:r>
        <w:t xml:space="preserve"> — the regulator approves individual trading desks, not the entire book; desks failing the PLA test revert to SBM</w:t>
      </w:r>
    </w:p>
    <w:p w14:paraId="6D6BD8B0" w14:textId="77777777" w:rsidR="008A18DA" w:rsidRDefault="00000000">
      <w:pPr>
        <w:pStyle w:val="ListNumber"/>
        <w:spacing w:before="20" w:after="40"/>
      </w:pPr>
      <w:r>
        <w:rPr>
          <w:b/>
          <w:color w:val="1E2A3A"/>
        </w:rPr>
        <w:t>Three correlation scenarios</w:t>
      </w:r>
      <w:r>
        <w:t xml:space="preserve"> — SBM is computed under low, medium, and high correlation scenarios and the worst case is taken; prevents correlation arbitrage</w:t>
      </w:r>
    </w:p>
    <w:p w14:paraId="5D64D7C4" w14:textId="77777777" w:rsidR="008A18DA" w:rsidRDefault="00000000">
      <w:pPr>
        <w:pStyle w:val="ListNumber"/>
        <w:spacing w:before="20" w:after="40"/>
      </w:pPr>
      <w:r>
        <w:rPr>
          <w:b/>
          <w:color w:val="1E2A3A"/>
        </w:rPr>
        <w:t>Liquidity horizons</w:t>
      </w:r>
      <w:r>
        <w:t xml:space="preserve"> — different risk factors are assigned different liquidity horizons (10–120 days) reflecting how long it takes to exit positions</w:t>
      </w:r>
    </w:p>
    <w:p w14:paraId="00B64F67" w14:textId="77777777" w:rsidR="008A18DA" w:rsidRDefault="008A18DA">
      <w:pPr>
        <w:pBdr>
          <w:bottom w:val="single" w:sz="6" w:space="1" w:color="9B111E"/>
        </w:pBdr>
      </w:pPr>
    </w:p>
    <w:p w14:paraId="6D10C3AF" w14:textId="77777777" w:rsidR="008A18DA" w:rsidRDefault="00000000">
      <w:pPr>
        <w:pStyle w:val="Heading3"/>
      </w:pPr>
      <w:r>
        <w:t>8.4.3 Functional Objective of Calculations</w:t>
      </w:r>
    </w:p>
    <w:p w14:paraId="3730034B" w14:textId="77777777" w:rsidR="008A18DA" w:rsidRDefault="00000000">
      <w:pPr>
        <w:pStyle w:val="Heading4"/>
      </w:pPr>
      <w:r>
        <w:t>A. Sensitivities-Based Method (SBM) — MAR21–25</w:t>
      </w:r>
    </w:p>
    <w:p w14:paraId="47FB16B5" w14:textId="77777777" w:rsidR="008A18DA" w:rsidRDefault="00000000">
      <w:pPr>
        <w:spacing w:before="40" w:after="80"/>
      </w:pPr>
      <w:r>
        <w:rPr>
          <w:b/>
        </w:rPr>
        <w:t>Weighted Sensitivity:</w:t>
      </w:r>
    </w:p>
    <w:p w14:paraId="06A2FC04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$$WS_k = RW_k \times s_k$$</w:t>
      </w:r>
    </w:p>
    <w:p w14:paraId="35AAEC43" w14:textId="77777777" w:rsidR="008A18DA" w:rsidRDefault="00000000">
      <w:pPr>
        <w:spacing w:before="40" w:after="80"/>
      </w:pPr>
      <w:r>
        <w:rPr>
          <w:b/>
        </w:rPr>
        <w:t>Intra-bucket aggregation (Delta per risk class and bucket b):</w:t>
      </w:r>
    </w:p>
    <w:p w14:paraId="793692C3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$$K_b = \sqrt{\sum_k WS_k^2 + \sum_{k \neq l} \rho_{kl} \cdot WS_k \cdot WS_l}$$</w:t>
      </w:r>
    </w:p>
    <w:p w14:paraId="3DA94D88" w14:textId="77777777" w:rsidR="008A18DA" w:rsidRDefault="00000000">
      <w:pPr>
        <w:spacing w:before="40" w:after="80"/>
      </w:pPr>
      <w:r>
        <w:rPr>
          <w:b/>
        </w:rPr>
        <w:t>Inter-bucket aggregation (across buckets within risk class):</w:t>
      </w:r>
    </w:p>
    <w:p w14:paraId="23103CA4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$$\Delta = \sqrt{\sum_b K_b^2 + \sum_{b \neq c} \gamma_{bc} \cdot K_b \cdot K_c}$$</w:t>
      </w:r>
    </w:p>
    <w:p w14:paraId="40F31813" w14:textId="77777777" w:rsidR="008A18DA" w:rsidRDefault="00000000">
      <w:pPr>
        <w:spacing w:before="40" w:after="80"/>
      </w:pPr>
      <w:r>
        <w:rPr>
          <w:b/>
        </w:rPr>
        <w:t>Regulatory Floor (MAR21.100):</w:t>
      </w:r>
    </w:p>
    <w:p w14:paraId="48EF6918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$$\text{SBM}_\text{delta} = \max\!\left(\Delta,\; \sum_k |WS_k|\right)$$</w:t>
      </w:r>
    </w:p>
    <w:p w14:paraId="239F8F8B" w14:textId="77777777" w:rsidR="008A18DA" w:rsidRDefault="00000000">
      <w:pPr>
        <w:spacing w:before="40" w:after="80"/>
      </w:pPr>
      <w:r>
        <w:rPr>
          <w:b/>
        </w:rPr>
        <w:t>Three correlation scenarios (MAR21.6):</w:t>
      </w:r>
    </w:p>
    <w:p w14:paraId="3B528876" w14:textId="77777777" w:rsidR="008A18DA" w:rsidRDefault="00000000">
      <w:pPr>
        <w:pStyle w:val="ListBullet"/>
        <w:spacing w:before="20" w:after="40"/>
      </w:pPr>
      <w:r>
        <w:rPr>
          <w:b/>
          <w:color w:val="1E2A3A"/>
        </w:rPr>
        <w:t>Low:</w:t>
      </w:r>
      <w:r>
        <w:t xml:space="preserve"> $\rho_\text{low} = \max(2\rho - 1,\; 0.5625\rho,\; 0)$</w:t>
      </w:r>
    </w:p>
    <w:p w14:paraId="6849DCD9" w14:textId="77777777" w:rsidR="008A18DA" w:rsidRDefault="00000000">
      <w:pPr>
        <w:pStyle w:val="ListBullet"/>
        <w:spacing w:before="20" w:after="40"/>
      </w:pPr>
      <w:r>
        <w:rPr>
          <w:b/>
          <w:color w:val="1E2A3A"/>
        </w:rPr>
        <w:t>Medium:</w:t>
      </w:r>
      <w:r>
        <w:t xml:space="preserve"> $\rho_\text{med} = \rho$</w:t>
      </w:r>
    </w:p>
    <w:p w14:paraId="74AA63B2" w14:textId="77777777" w:rsidR="008A18DA" w:rsidRDefault="00000000">
      <w:pPr>
        <w:pStyle w:val="ListBullet"/>
        <w:spacing w:before="20" w:after="40"/>
      </w:pPr>
      <w:r>
        <w:rPr>
          <w:b/>
          <w:color w:val="1E2A3A"/>
        </w:rPr>
        <w:t>High:</w:t>
      </w:r>
      <w:r>
        <w:t xml:space="preserve"> $\rho_\text{high} = \min(\rho + 0.25(1 - |\rho|),\; 1)$</w:t>
      </w:r>
    </w:p>
    <w:p w14:paraId="47BF8EF6" w14:textId="77777777" w:rsidR="008A18DA" w:rsidRDefault="00000000">
      <w:pPr>
        <w:spacing w:before="40" w:after="80"/>
      </w:pPr>
      <w:r>
        <w:lastRenderedPageBreak/>
        <w:t xml:space="preserve">The capital charge is the </w:t>
      </w:r>
      <w:r>
        <w:rPr>
          <w:b/>
        </w:rPr>
        <w:t>maximum</w:t>
      </w:r>
      <w:r>
        <w:t xml:space="preserve"> across all three scenarios.</w:t>
      </w:r>
    </w:p>
    <w:p w14:paraId="1ADC5168" w14:textId="77777777" w:rsidR="008A18DA" w:rsidRDefault="00000000">
      <w:pPr>
        <w:spacing w:before="40" w:after="80"/>
      </w:pPr>
      <w:r>
        <w:rPr>
          <w:b/>
        </w:rPr>
        <w:t>Total SBM:</w:t>
      </w:r>
    </w:p>
    <w:p w14:paraId="112BB4B0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$$\text{SBM}_\text{total} = \text{SBM}_\text{delta} + \text{SBM}_\text{vega} + \text{SBM}_\text{curvature}$$</w:t>
      </w:r>
    </w:p>
    <w:p w14:paraId="54BF765D" w14:textId="77777777" w:rsidR="008A18DA" w:rsidRDefault="00000000">
      <w:pPr>
        <w:pStyle w:val="Heading4"/>
      </w:pPr>
      <w:r>
        <w:t>B. Internal Models Approach (IMA) — MAR33</w:t>
      </w:r>
    </w:p>
    <w:p w14:paraId="502CB0FD" w14:textId="77777777" w:rsidR="008A18DA" w:rsidRDefault="00000000">
      <w:pPr>
        <w:spacing w:before="40" w:after="80"/>
      </w:pPr>
      <w:r>
        <w:rPr>
          <w:b/>
        </w:rPr>
        <w:t>Expected Shortfall:</w:t>
      </w:r>
    </w:p>
    <w:p w14:paraId="5D8EC6A1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$$\text{ES}_{97.5\%} = -\text{Percentile}(\text{P\&amp;L},\; 2.5\%)$$</w:t>
      </w:r>
    </w:p>
    <w:p w14:paraId="4966FDD5" w14:textId="77777777" w:rsidR="008A18DA" w:rsidRDefault="00000000">
      <w:pPr>
        <w:spacing w:before="40" w:after="80"/>
      </w:pPr>
      <w:r>
        <w:rPr>
          <w:b/>
        </w:rPr>
        <w:t>Liquidity Horizon Adjustment (MAR33.4):</w:t>
      </w:r>
    </w:p>
    <w:p w14:paraId="0F24AB13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$$\text{ES}_{10d} = \text{ES}_{1d} \times \sqrt{10}$$</w:t>
      </w:r>
    </w:p>
    <w:p w14:paraId="0CC3B173" w14:textId="77777777" w:rsidR="008A18DA" w:rsidRDefault="00000000">
      <w:pPr>
        <w:spacing w:before="40" w:after="80"/>
      </w:pPr>
      <w:r>
        <w:rPr>
          <w:b/>
        </w:rPr>
        <w:t>Stressed ES Calibration:</w:t>
      </w:r>
    </w:p>
    <w:p w14:paraId="4A7B4F6F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$$\text{ES}_\text{stressed} = \text{ES from the worst 12-month window in 2007–2009 data}$$</w:t>
      </w:r>
    </w:p>
    <w:p w14:paraId="77A33A2D" w14:textId="77777777" w:rsidR="008A18DA" w:rsidRDefault="00000000">
      <w:pPr>
        <w:spacing w:before="40" w:after="80"/>
      </w:pPr>
      <w:r>
        <w:rPr>
          <w:b/>
        </w:rPr>
        <w:t>Total IMA:</w:t>
      </w:r>
    </w:p>
    <w:p w14:paraId="4BFBBCEB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$$\text{IMA} = \max(\text{ES}_{10d},\; \text{ES}_\text{stressed})$$</w:t>
      </w:r>
    </w:p>
    <w:p w14:paraId="138B64DB" w14:textId="77777777" w:rsidR="008A18DA" w:rsidRDefault="00000000">
      <w:pPr>
        <w:pStyle w:val="Heading4"/>
      </w:pPr>
      <w:r>
        <w:t>C. Default Risk Charge (DRC) — MAR22</w:t>
      </w:r>
    </w:p>
    <w:p w14:paraId="65A8E519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$$\text{DRC} = \sum_i \text{LGD}_i \times \text{Notional}_i \times P(\text{JTD}_i)$$</w:t>
      </w:r>
    </w:p>
    <w:p w14:paraId="1B69CB1F" w14:textId="77777777" w:rsidR="008A18DA" w:rsidRDefault="00000000">
      <w:pPr>
        <w:spacing w:before="40" w:after="80"/>
      </w:pPr>
      <w:r>
        <w:t>Jump-to-Default probability applies regulatory net long/short positions across rating buckets.</w:t>
      </w:r>
    </w:p>
    <w:p w14:paraId="44A23256" w14:textId="77777777" w:rsidR="008A18DA" w:rsidRDefault="00000000">
      <w:pPr>
        <w:pStyle w:val="Heading4"/>
      </w:pPr>
      <w:r>
        <w:t>D. Residual Risk Add-On (RRAO) — MAR23.5</w:t>
      </w:r>
    </w:p>
    <w:p w14:paraId="1D71F16C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$$\text{RRAO} = 1.0\% \times N_\text{exotic} + 0.1\% \times N_\text{residual}$$</w:t>
      </w:r>
    </w:p>
    <w:p w14:paraId="37479074" w14:textId="77777777" w:rsidR="008A18DA" w:rsidRDefault="00000000">
      <w:pPr>
        <w:spacing w:before="40" w:after="80"/>
      </w:pPr>
      <w:r>
        <w:t>where $N_\text{exotic}$ is total gross notional of instruments with exotic underlyings, and $N_\text{residual}$ is gross notional with gap/correlation/behavioural risk.</w:t>
      </w:r>
    </w:p>
    <w:p w14:paraId="4F7D9246" w14:textId="77777777" w:rsidR="008A18DA" w:rsidRDefault="00000000">
      <w:pPr>
        <w:pStyle w:val="Heading4"/>
      </w:pPr>
      <w:r>
        <w:t>E. Total Market Risk Capital:</w:t>
      </w:r>
    </w:p>
    <w:p w14:paraId="1F6162FF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$$\text{Capital}_\text{market} = \text{SBM}_\text{total} + \text{IMA} + \text{DRC} + \text{RRAO}$$</w:t>
      </w:r>
    </w:p>
    <w:p w14:paraId="761F82C3" w14:textId="77777777" w:rsidR="008A18DA" w:rsidRDefault="008A18DA">
      <w:pPr>
        <w:pBdr>
          <w:bottom w:val="single" w:sz="6" w:space="1" w:color="9B111E"/>
        </w:pBdr>
      </w:pPr>
    </w:p>
    <w:p w14:paraId="31E86089" w14:textId="77777777" w:rsidR="008A18DA" w:rsidRDefault="00000000">
      <w:pPr>
        <w:pStyle w:val="Heading3"/>
      </w:pPr>
      <w:r>
        <w:t>8.4.4 Parameter Significance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840"/>
        <w:gridCol w:w="1728"/>
        <w:gridCol w:w="1728"/>
        <w:gridCol w:w="1728"/>
      </w:tblGrid>
      <w:tr w:rsidR="008A18DA" w14:paraId="30B0CE3F" w14:textId="77777777">
        <w:trPr>
          <w:trHeight w:val="369"/>
        </w:trPr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1E2A3A"/>
            <w:vAlign w:val="center"/>
          </w:tcPr>
          <w:p w14:paraId="3ACC3E9D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FFFFFF"/>
                <w:sz w:val="19"/>
              </w:rPr>
              <w:t>Parameter</w:t>
            </w:r>
          </w:p>
        </w:tc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1E2A3A"/>
            <w:vAlign w:val="center"/>
          </w:tcPr>
          <w:p w14:paraId="488AD484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FFFFFF"/>
                <w:sz w:val="19"/>
              </w:rPr>
              <w:t>Value</w:t>
            </w:r>
          </w:p>
        </w:tc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1E2A3A"/>
            <w:vAlign w:val="center"/>
          </w:tcPr>
          <w:p w14:paraId="1107B0BC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FFFFFF"/>
                <w:sz w:val="19"/>
              </w:rPr>
              <w:t>Significance</w:t>
            </w:r>
          </w:p>
        </w:tc>
        <w:tc>
          <w:tcPr>
            <w:tcW w:w="1728" w:type="dxa"/>
          </w:tcPr>
          <w:p w14:paraId="6F13DB89" w14:textId="77777777" w:rsidR="008A18DA" w:rsidRDefault="008A18DA"/>
        </w:tc>
        <w:tc>
          <w:tcPr>
            <w:tcW w:w="1728" w:type="dxa"/>
          </w:tcPr>
          <w:p w14:paraId="67D9FC4C" w14:textId="77777777" w:rsidR="008A18DA" w:rsidRDefault="008A18DA"/>
        </w:tc>
      </w:tr>
      <w:tr w:rsidR="008A18DA" w14:paraId="22B32E5D" w14:textId="77777777">
        <w:trPr>
          <w:trHeight w:val="369"/>
        </w:trPr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09E50A2D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Delta Risk Weights (GIRR)</w:t>
            </w:r>
          </w:p>
        </w:tc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32C4182C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1.1%–1.8% by tenor</w:t>
            </w:r>
          </w:p>
        </w:tc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27E00FD3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Prescribed sensitivity of 1bp rate move to capital; higher for short and very long tenors</w:t>
            </w:r>
          </w:p>
        </w:tc>
        <w:tc>
          <w:tcPr>
            <w:tcW w:w="1728" w:type="dxa"/>
          </w:tcPr>
          <w:p w14:paraId="59CBE233" w14:textId="77777777" w:rsidR="008A18DA" w:rsidRDefault="008A18DA"/>
        </w:tc>
        <w:tc>
          <w:tcPr>
            <w:tcW w:w="1728" w:type="dxa"/>
          </w:tcPr>
          <w:p w14:paraId="7DB1A27A" w14:textId="77777777" w:rsidR="008A18DA" w:rsidRDefault="008A18DA"/>
        </w:tc>
      </w:tr>
      <w:tr w:rsidR="008A18DA" w14:paraId="123122A5" w14:textId="77777777">
        <w:trPr>
          <w:trHeight w:val="369"/>
        </w:trPr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4F066BFE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Delta Risk Weights (FX)</w:t>
            </w:r>
          </w:p>
        </w:tc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4469D0AE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15%</w:t>
            </w:r>
          </w:p>
        </w:tc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2A778226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Calibrated to observed FX volatility; all currency pairs treated equally under SBM</w:t>
            </w:r>
          </w:p>
        </w:tc>
        <w:tc>
          <w:tcPr>
            <w:tcW w:w="1728" w:type="dxa"/>
          </w:tcPr>
          <w:p w14:paraId="45C8A49A" w14:textId="77777777" w:rsidR="008A18DA" w:rsidRDefault="008A18DA"/>
        </w:tc>
        <w:tc>
          <w:tcPr>
            <w:tcW w:w="1728" w:type="dxa"/>
          </w:tcPr>
          <w:p w14:paraId="3D5F75A5" w14:textId="77777777" w:rsidR="008A18DA" w:rsidRDefault="008A18DA"/>
        </w:tc>
      </w:tr>
      <w:tr w:rsidR="008A18DA" w14:paraId="2FDB48A8" w14:textId="77777777">
        <w:trPr>
          <w:trHeight w:val="369"/>
        </w:trPr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020AD668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Delta Risk Weights (EQ Large)</w:t>
            </w:r>
          </w:p>
        </w:tc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74D00BAD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30%–70% by sector/bucket</w:t>
            </w:r>
          </w:p>
        </w:tc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6C5CD905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Reflects equity volatility by sector; emerging markets (bucket 8) highest at 70%</w:t>
            </w:r>
          </w:p>
        </w:tc>
        <w:tc>
          <w:tcPr>
            <w:tcW w:w="1728" w:type="dxa"/>
          </w:tcPr>
          <w:p w14:paraId="40FE783F" w14:textId="77777777" w:rsidR="008A18DA" w:rsidRDefault="008A18DA"/>
        </w:tc>
        <w:tc>
          <w:tcPr>
            <w:tcW w:w="1728" w:type="dxa"/>
          </w:tcPr>
          <w:p w14:paraId="7D57E439" w14:textId="77777777" w:rsidR="008A18DA" w:rsidRDefault="008A18DA"/>
        </w:tc>
      </w:tr>
      <w:tr w:rsidR="008A18DA" w14:paraId="4556AF33" w14:textId="77777777">
        <w:trPr>
          <w:trHeight w:val="369"/>
        </w:trPr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0A7F28BB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 xml:space="preserve">Delta Risk </w:t>
            </w:r>
            <w:r>
              <w:rPr>
                <w:b/>
                <w:color w:val="1E2A3A"/>
                <w:sz w:val="19"/>
              </w:rPr>
              <w:lastRenderedPageBreak/>
              <w:t>Weights (CMDTY)</w:t>
            </w:r>
          </w:p>
        </w:tc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4B4A3D4A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lastRenderedPageBreak/>
              <w:t xml:space="preserve">16%–80% by </w:t>
            </w:r>
            <w:r>
              <w:rPr>
                <w:sz w:val="19"/>
              </w:rPr>
              <w:lastRenderedPageBreak/>
              <w:t>commodity type</w:t>
            </w:r>
          </w:p>
        </w:tc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7A1E11ED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lastRenderedPageBreak/>
              <w:t xml:space="preserve">Energy (bucket 3) </w:t>
            </w:r>
            <w:r>
              <w:rPr>
                <w:sz w:val="19"/>
              </w:rPr>
              <w:lastRenderedPageBreak/>
              <w:t>highest at 60%; agriculture (buckets 13–15) lower at 18%</w:t>
            </w:r>
          </w:p>
        </w:tc>
        <w:tc>
          <w:tcPr>
            <w:tcW w:w="1728" w:type="dxa"/>
          </w:tcPr>
          <w:p w14:paraId="6EA2AD54" w14:textId="77777777" w:rsidR="008A18DA" w:rsidRDefault="008A18DA"/>
        </w:tc>
        <w:tc>
          <w:tcPr>
            <w:tcW w:w="1728" w:type="dxa"/>
          </w:tcPr>
          <w:p w14:paraId="71E04F7F" w14:textId="77777777" w:rsidR="008A18DA" w:rsidRDefault="008A18DA"/>
        </w:tc>
      </w:tr>
      <w:tr w:rsidR="008A18DA" w14:paraId="65401784" w14:textId="77777777">
        <w:trPr>
          <w:trHeight w:val="369"/>
        </w:trPr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298C1F4E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Vega Risk Weights</w:t>
            </w:r>
          </w:p>
        </w:tc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7F99BCC3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GIRR: 55%, EQ: 78%, FX: 47%, CMDTY: 100%</w:t>
            </w:r>
          </w:p>
        </w:tc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47EB8557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Reflects implied vol market liquidity; CMDTY at 100% due to low vol-of-vol liquidity</w:t>
            </w:r>
          </w:p>
        </w:tc>
        <w:tc>
          <w:tcPr>
            <w:tcW w:w="1728" w:type="dxa"/>
          </w:tcPr>
          <w:p w14:paraId="3167483A" w14:textId="77777777" w:rsidR="008A18DA" w:rsidRDefault="008A18DA"/>
        </w:tc>
        <w:tc>
          <w:tcPr>
            <w:tcW w:w="1728" w:type="dxa"/>
          </w:tcPr>
          <w:p w14:paraId="624AA8F1" w14:textId="77777777" w:rsidR="008A18DA" w:rsidRDefault="008A18DA"/>
        </w:tc>
      </w:tr>
      <w:tr w:rsidR="008A18DA" w14:paraId="3DA1EABF" w14:textId="77777777">
        <w:trPr>
          <w:trHeight w:val="369"/>
        </w:trPr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66D3075B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Intra-bucket correlation (GIRR)</w:t>
            </w:r>
          </w:p>
        </w:tc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48CE172F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Tenor-gap: exp(−0.03·</w:t>
            </w:r>
          </w:p>
        </w:tc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255C39D9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ln(t₁/t₂)</w:t>
            </w:r>
          </w:p>
        </w:tc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5E23F027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)</w:t>
            </w:r>
          </w:p>
        </w:tc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23C0FC75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Exponential decay with tenor-gap distance; close tenors highly correlated</w:t>
            </w:r>
          </w:p>
        </w:tc>
      </w:tr>
      <w:tr w:rsidR="008A18DA" w14:paraId="221ED2EE" w14:textId="77777777">
        <w:trPr>
          <w:trHeight w:val="369"/>
        </w:trPr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07B77DDA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Intra-bucket correlation (EQ)</w:t>
            </w:r>
          </w:p>
        </w:tc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2563CD38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15%</w:t>
            </w:r>
          </w:p>
        </w:tc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00C49997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Low intra-bucket correlation; individual stock risk diversifies within sector bucket</w:t>
            </w:r>
          </w:p>
        </w:tc>
        <w:tc>
          <w:tcPr>
            <w:tcW w:w="1728" w:type="dxa"/>
          </w:tcPr>
          <w:p w14:paraId="1144EAD5" w14:textId="77777777" w:rsidR="008A18DA" w:rsidRDefault="008A18DA"/>
        </w:tc>
        <w:tc>
          <w:tcPr>
            <w:tcW w:w="1728" w:type="dxa"/>
          </w:tcPr>
          <w:p w14:paraId="1BF1B0F8" w14:textId="77777777" w:rsidR="008A18DA" w:rsidRDefault="008A18DA"/>
        </w:tc>
      </w:tr>
      <w:tr w:rsidR="008A18DA" w14:paraId="44249B7E" w14:textId="77777777">
        <w:trPr>
          <w:trHeight w:val="369"/>
        </w:trPr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138EB278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Inter-bucket correlation (GIRR)</w:t>
            </w:r>
          </w:p>
        </w:tc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646151B0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50%</w:t>
            </w:r>
          </w:p>
        </w:tc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0487B5F4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Cross-currency rate correlation; key for multi-currency trading books</w:t>
            </w:r>
          </w:p>
        </w:tc>
        <w:tc>
          <w:tcPr>
            <w:tcW w:w="1728" w:type="dxa"/>
          </w:tcPr>
          <w:p w14:paraId="655C07D0" w14:textId="77777777" w:rsidR="008A18DA" w:rsidRDefault="008A18DA"/>
        </w:tc>
        <w:tc>
          <w:tcPr>
            <w:tcW w:w="1728" w:type="dxa"/>
          </w:tcPr>
          <w:p w14:paraId="16A49CEB" w14:textId="77777777" w:rsidR="008A18DA" w:rsidRDefault="008A18DA"/>
        </w:tc>
      </w:tr>
      <w:tr w:rsidR="008A18DA" w14:paraId="27B99D04" w14:textId="77777777">
        <w:trPr>
          <w:trHeight w:val="369"/>
        </w:trPr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4B6E0C7C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Inter-bucket correlation (CSR_NS)</w:t>
            </w:r>
          </w:p>
        </w:tc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57E1D779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0%</w:t>
            </w:r>
          </w:p>
        </w:tc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0E14226A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Different credit sectors treated as uncorrelated; no diversification benefit across sectors</w:t>
            </w:r>
          </w:p>
        </w:tc>
        <w:tc>
          <w:tcPr>
            <w:tcW w:w="1728" w:type="dxa"/>
          </w:tcPr>
          <w:p w14:paraId="3578EDBD" w14:textId="77777777" w:rsidR="008A18DA" w:rsidRDefault="008A18DA"/>
        </w:tc>
        <w:tc>
          <w:tcPr>
            <w:tcW w:w="1728" w:type="dxa"/>
          </w:tcPr>
          <w:p w14:paraId="7B452C18" w14:textId="77777777" w:rsidR="008A18DA" w:rsidRDefault="008A18DA"/>
        </w:tc>
      </w:tr>
      <w:tr w:rsidR="008A18DA" w14:paraId="79B5A6E1" w14:textId="77777777">
        <w:trPr>
          <w:trHeight w:val="369"/>
        </w:trPr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16C96584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Curvature CVR</w:t>
            </w:r>
          </w:p>
        </w:tc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4748423C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CVR_k = −min(CVR_up, CVR_dn, 0)</w:t>
            </w:r>
          </w:p>
        </w:tc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3A21C400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Captures convexity risk from non-linear instruments (options); asymmetric P&amp;L from rate shifts</w:t>
            </w:r>
          </w:p>
        </w:tc>
        <w:tc>
          <w:tcPr>
            <w:tcW w:w="1728" w:type="dxa"/>
          </w:tcPr>
          <w:p w14:paraId="3C69036D" w14:textId="77777777" w:rsidR="008A18DA" w:rsidRDefault="008A18DA"/>
        </w:tc>
        <w:tc>
          <w:tcPr>
            <w:tcW w:w="1728" w:type="dxa"/>
          </w:tcPr>
          <w:p w14:paraId="23B534C1" w14:textId="77777777" w:rsidR="008A18DA" w:rsidRDefault="008A18DA"/>
        </w:tc>
      </w:tr>
      <w:tr w:rsidR="008A18DA" w14:paraId="34B8F21C" w14:textId="77777777">
        <w:trPr>
          <w:trHeight w:val="369"/>
        </w:trPr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48CFEC9D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Stressed ES multiplier</w:t>
            </w:r>
          </w:p>
        </w:tc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6BB52C02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1.5 (</w:t>
            </w:r>
            <w:r>
              <w:rPr>
                <w:rFonts w:ascii="Courier New" w:hAnsi="Courier New"/>
                <w:color w:val="C7254E"/>
                <w:sz w:val="17"/>
              </w:rPr>
              <w:t>ima_multiplier</w:t>
            </w:r>
            <w:r>
              <w:rPr>
                <w:sz w:val="19"/>
              </w:rPr>
              <w:t>)</w:t>
            </w:r>
          </w:p>
        </w:tc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206634ED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IMA capital floored at 1.5× current ES when model underperforms in backtesting</w:t>
            </w:r>
          </w:p>
        </w:tc>
        <w:tc>
          <w:tcPr>
            <w:tcW w:w="1728" w:type="dxa"/>
          </w:tcPr>
          <w:p w14:paraId="0C0926AB" w14:textId="77777777" w:rsidR="008A18DA" w:rsidRDefault="008A18DA"/>
        </w:tc>
        <w:tc>
          <w:tcPr>
            <w:tcW w:w="1728" w:type="dxa"/>
          </w:tcPr>
          <w:p w14:paraId="561D14EF" w14:textId="77777777" w:rsidR="008A18DA" w:rsidRDefault="008A18DA"/>
        </w:tc>
      </w:tr>
      <w:tr w:rsidR="008A18DA" w14:paraId="27D8FDF4" w14:textId="77777777">
        <w:trPr>
          <w:trHeight w:val="369"/>
        </w:trPr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362CFB7B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NMRF charge</w:t>
            </w:r>
          </w:p>
        </w:tc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76B87951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0.15% of average notional</w:t>
            </w:r>
          </w:p>
        </w:tc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1E131E40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Non-Modellable Risk Factor charge per MAR31.14; assets with insufficient price history get individual ES stress</w:t>
            </w:r>
          </w:p>
        </w:tc>
        <w:tc>
          <w:tcPr>
            <w:tcW w:w="1728" w:type="dxa"/>
          </w:tcPr>
          <w:p w14:paraId="5E7C4076" w14:textId="77777777" w:rsidR="008A18DA" w:rsidRDefault="008A18DA"/>
        </w:tc>
        <w:tc>
          <w:tcPr>
            <w:tcW w:w="1728" w:type="dxa"/>
          </w:tcPr>
          <w:p w14:paraId="5FC1C615" w14:textId="77777777" w:rsidR="008A18DA" w:rsidRDefault="008A18DA"/>
        </w:tc>
      </w:tr>
      <w:tr w:rsidR="008A18DA" w14:paraId="1620DAF3" w14:textId="77777777">
        <w:trPr>
          <w:trHeight w:val="369"/>
        </w:trPr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4A9349D0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Confidence level</w:t>
            </w:r>
          </w:p>
        </w:tc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0F83980B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97.5% (ES)</w:t>
            </w:r>
          </w:p>
        </w:tc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466C8B8D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 xml:space="preserve">Tail risk measure; captures average loss in the worst </w:t>
            </w:r>
            <w:r>
              <w:rPr>
                <w:sz w:val="19"/>
              </w:rPr>
              <w:lastRenderedPageBreak/>
              <w:t>2.5% of scenarios</w:t>
            </w:r>
          </w:p>
        </w:tc>
        <w:tc>
          <w:tcPr>
            <w:tcW w:w="1728" w:type="dxa"/>
          </w:tcPr>
          <w:p w14:paraId="4D328AD8" w14:textId="77777777" w:rsidR="008A18DA" w:rsidRDefault="008A18DA"/>
        </w:tc>
        <w:tc>
          <w:tcPr>
            <w:tcW w:w="1728" w:type="dxa"/>
          </w:tcPr>
          <w:p w14:paraId="27056C84" w14:textId="77777777" w:rsidR="008A18DA" w:rsidRDefault="008A18DA"/>
        </w:tc>
      </w:tr>
      <w:tr w:rsidR="008A18DA" w14:paraId="42A01B33" w14:textId="77777777">
        <w:trPr>
          <w:trHeight w:val="369"/>
        </w:trPr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057C4B56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Holding period</w:t>
            </w:r>
          </w:p>
        </w:tc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0C62D86B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10 days</w:t>
            </w:r>
          </w:p>
        </w:tc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471540DC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Minimum regulatory horizon; extended for illiquid risk factors (up to 120 days for complex credit)</w:t>
            </w:r>
          </w:p>
        </w:tc>
        <w:tc>
          <w:tcPr>
            <w:tcW w:w="1728" w:type="dxa"/>
          </w:tcPr>
          <w:p w14:paraId="15661669" w14:textId="77777777" w:rsidR="008A18DA" w:rsidRDefault="008A18DA"/>
        </w:tc>
        <w:tc>
          <w:tcPr>
            <w:tcW w:w="1728" w:type="dxa"/>
          </w:tcPr>
          <w:p w14:paraId="08766F7F" w14:textId="77777777" w:rsidR="008A18DA" w:rsidRDefault="008A18DA"/>
        </w:tc>
      </w:tr>
      <w:tr w:rsidR="008A18DA" w14:paraId="32831F87" w14:textId="77777777">
        <w:trPr>
          <w:trHeight w:val="369"/>
        </w:trPr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134058FC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Backtesting window</w:t>
            </w:r>
          </w:p>
        </w:tc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26A26CC7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260 days</w:t>
            </w:r>
          </w:p>
        </w:tc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4033CEBB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One calendar year of trading days for traffic-light assessment</w:t>
            </w:r>
          </w:p>
        </w:tc>
        <w:tc>
          <w:tcPr>
            <w:tcW w:w="1728" w:type="dxa"/>
          </w:tcPr>
          <w:p w14:paraId="1E8EBDDE" w14:textId="77777777" w:rsidR="008A18DA" w:rsidRDefault="008A18DA"/>
        </w:tc>
        <w:tc>
          <w:tcPr>
            <w:tcW w:w="1728" w:type="dxa"/>
          </w:tcPr>
          <w:p w14:paraId="6516B0A2" w14:textId="77777777" w:rsidR="008A18DA" w:rsidRDefault="008A18DA"/>
        </w:tc>
      </w:tr>
    </w:tbl>
    <w:p w14:paraId="6B5D4E5D" w14:textId="77777777" w:rsidR="008A18DA" w:rsidRDefault="008A18DA"/>
    <w:p w14:paraId="75943B32" w14:textId="77777777" w:rsidR="008A18DA" w:rsidRDefault="008A18DA">
      <w:pPr>
        <w:pBdr>
          <w:bottom w:val="single" w:sz="6" w:space="1" w:color="9B111E"/>
        </w:pBdr>
      </w:pPr>
    </w:p>
    <w:p w14:paraId="52AFDF47" w14:textId="77777777" w:rsidR="008A18DA" w:rsidRDefault="00000000">
      <w:pPr>
        <w:pStyle w:val="Heading3"/>
      </w:pPr>
      <w:r>
        <w:t>8.4.5 Key Success Criteria</w:t>
      </w:r>
    </w:p>
    <w:p w14:paraId="40159935" w14:textId="77777777" w:rsidR="008A18DA" w:rsidRDefault="00000000">
      <w:pPr>
        <w:pStyle w:val="ListBullet"/>
        <w:spacing w:before="20" w:after="40"/>
      </w:pPr>
      <w:r>
        <w:t>SBM delta charge is non-negative and passes the regulatory floor (MAR21.100) check</w:t>
      </w:r>
    </w:p>
    <w:p w14:paraId="17A36E1B" w14:textId="77777777" w:rsidR="008A18DA" w:rsidRDefault="00000000">
      <w:pPr>
        <w:pStyle w:val="ListBullet"/>
        <w:spacing w:before="20" w:after="40"/>
      </w:pPr>
      <w:r>
        <w:t>Three-scenario correlation framework produces the maximum-charge scenario as the result</w:t>
      </w:r>
    </w:p>
    <w:p w14:paraId="73C3D234" w14:textId="77777777" w:rsidR="008A18DA" w:rsidRDefault="00000000">
      <w:pPr>
        <w:pStyle w:val="ListBullet"/>
        <w:spacing w:before="20" w:after="40"/>
      </w:pPr>
      <w:r>
        <w:t>IMA ES correctly identifies the worst 2.5th percentile of the 260-day P&amp;L distribution</w:t>
      </w:r>
    </w:p>
    <w:p w14:paraId="3A641146" w14:textId="77777777" w:rsidR="008A18DA" w:rsidRDefault="00000000">
      <w:pPr>
        <w:pStyle w:val="ListBullet"/>
        <w:spacing w:before="20" w:after="40"/>
      </w:pPr>
      <w:r>
        <w:t>Stressed ES &gt; current ES (confirms stressed calibration is more severe)</w:t>
      </w:r>
    </w:p>
    <w:p w14:paraId="2BF771FD" w14:textId="77777777" w:rsidR="008A18DA" w:rsidRDefault="00000000">
      <w:pPr>
        <w:pStyle w:val="ListBullet"/>
        <w:spacing w:before="20" w:after="40"/>
      </w:pPr>
      <w:r>
        <w:t>GIRR intra-bucket correlations follow the tenor-gap exponential decay formula</w:t>
      </w:r>
    </w:p>
    <w:p w14:paraId="4EDCBC4B" w14:textId="77777777" w:rsidR="008A18DA" w:rsidRDefault="00000000">
      <w:pPr>
        <w:pStyle w:val="ListBullet"/>
        <w:spacing w:before="20" w:after="40"/>
      </w:pPr>
      <w:r>
        <w:t>Backtesting traffic-light zone is correctly classified (Green/Amber/Red) based on exception count</w:t>
      </w:r>
    </w:p>
    <w:p w14:paraId="05306ABB" w14:textId="77777777" w:rsidR="008A18DA" w:rsidRDefault="00000000">
      <w:pPr>
        <w:pStyle w:val="ListBullet"/>
        <w:spacing w:before="20" w:after="40"/>
      </w:pPr>
      <w:r>
        <w:t xml:space="preserve">PLA test zone (MAR32) is computed and surfaced in </w:t>
      </w:r>
      <w:r>
        <w:rPr>
          <w:rFonts w:ascii="Courier New" w:hAnsi="Courier New"/>
          <w:color w:val="C7254E"/>
          <w:sz w:val="18"/>
        </w:rPr>
        <w:t>FRTBResult.pla_zone</w:t>
      </w:r>
    </w:p>
    <w:p w14:paraId="2D7B4779" w14:textId="77777777" w:rsidR="008A18DA" w:rsidRDefault="00000000">
      <w:pPr>
        <w:pStyle w:val="ListBullet"/>
        <w:spacing w:before="20" w:after="40"/>
      </w:pPr>
      <w:r>
        <w:t>Dynamic market condition adjustment scales risk weights upward during VIX &gt; 40 (crisis regime)</w:t>
      </w:r>
    </w:p>
    <w:p w14:paraId="6D71C7FE" w14:textId="77777777" w:rsidR="008A18DA" w:rsidRDefault="00000000">
      <w:pPr>
        <w:pStyle w:val="ListBullet"/>
        <w:spacing w:before="20" w:after="40"/>
      </w:pPr>
      <w:r>
        <w:t>6/6 SBM/IMA/DRC unit tests pass; zero type errors under Pylance strict mode</w:t>
      </w:r>
    </w:p>
    <w:p w14:paraId="41124FB6" w14:textId="77777777" w:rsidR="008A18DA" w:rsidRDefault="008A18DA">
      <w:pPr>
        <w:pBdr>
          <w:bottom w:val="single" w:sz="6" w:space="1" w:color="9B111E"/>
        </w:pBdr>
      </w:pPr>
    </w:p>
    <w:p w14:paraId="7688DD4B" w14:textId="77777777" w:rsidR="008A18DA" w:rsidRDefault="00000000">
      <w:pPr>
        <w:pStyle w:val="Heading2"/>
      </w:pPr>
      <w:r>
        <w:t>FR-005: CVA Risk Engine — Credit Valuation Adjustment</w:t>
      </w:r>
    </w:p>
    <w:p w14:paraId="7B9E80D3" w14:textId="77777777" w:rsidR="008A18DA" w:rsidRDefault="00000000">
      <w:pPr>
        <w:spacing w:before="40" w:after="80"/>
      </w:pPr>
      <w:r>
        <w:rPr>
          <w:b/>
        </w:rPr>
        <w:t>Basel Standard:</w:t>
      </w:r>
      <w:r>
        <w:t xml:space="preserve"> MAR50</w:t>
      </w:r>
    </w:p>
    <w:p w14:paraId="0AC12527" w14:textId="77777777" w:rsidR="008A18DA" w:rsidRDefault="00000000">
      <w:pPr>
        <w:spacing w:before="40" w:after="80"/>
      </w:pPr>
      <w:r>
        <w:rPr>
          <w:b/>
        </w:rPr>
        <w:t>Priority:</w:t>
      </w:r>
      <w:r>
        <w:t xml:space="preserve"> HIGH</w:t>
      </w:r>
    </w:p>
    <w:p w14:paraId="2EBAFE72" w14:textId="77777777" w:rsidR="008A18DA" w:rsidRDefault="00000000">
      <w:pPr>
        <w:spacing w:before="40" w:after="80"/>
      </w:pPr>
      <w:r>
        <w:rPr>
          <w:b/>
        </w:rPr>
        <w:t>Owner:</w:t>
      </w:r>
      <w:r>
        <w:t xml:space="preserve"> CVA Desk</w:t>
      </w:r>
    </w:p>
    <w:p w14:paraId="56C01482" w14:textId="77777777" w:rsidR="008A18DA" w:rsidRDefault="00000000">
      <w:pPr>
        <w:spacing w:before="40" w:after="80"/>
      </w:pPr>
      <w:r>
        <w:rPr>
          <w:b/>
        </w:rPr>
        <w:t>File:</w:t>
      </w:r>
      <w:r>
        <w:t xml:space="preserve"> </w:t>
      </w:r>
      <w:r>
        <w:rPr>
          <w:rFonts w:ascii="Courier New" w:hAnsi="Courier New"/>
        </w:rPr>
        <w:t>backend/engines/cva.py</w:t>
      </w:r>
    </w:p>
    <w:p w14:paraId="21DFA8CD" w14:textId="77777777" w:rsidR="008A18DA" w:rsidRDefault="008A18DA">
      <w:pPr>
        <w:pBdr>
          <w:bottom w:val="single" w:sz="6" w:space="1" w:color="9B111E"/>
        </w:pBdr>
      </w:pPr>
    </w:p>
    <w:p w14:paraId="1C5B97B1" w14:textId="77777777" w:rsidR="008A18DA" w:rsidRDefault="00000000">
      <w:pPr>
        <w:pStyle w:val="Heading3"/>
      </w:pPr>
      <w:r>
        <w:t>8.5.1 Use Case</w:t>
      </w:r>
    </w:p>
    <w:p w14:paraId="00D72544" w14:textId="77777777" w:rsidR="008A18DA" w:rsidRDefault="00000000">
      <w:pPr>
        <w:spacing w:before="40" w:after="80"/>
      </w:pPr>
      <w:r>
        <w:t xml:space="preserve">The CVA Risk engine calculates regulatory capital against </w:t>
      </w:r>
      <w:r>
        <w:rPr>
          <w:b/>
        </w:rPr>
        <w:t>CVA Volatility Risk</w:t>
      </w:r>
      <w:r>
        <w:t xml:space="preserve"> — the risk that the mark-to-model CVA of a derivatives portfolio moves adversely due to changes in counterparty credit quality (CDS spreads) or market factors. CVA capital was introduced after the financial crisis, as roughly two-thirds of financial-crisis CCR losses came from CVA P&amp;L volatility rather than actual defaults.</w:t>
      </w:r>
    </w:p>
    <w:p w14:paraId="58BD4B83" w14:textId="77777777" w:rsidR="008A18DA" w:rsidRDefault="00000000">
      <w:pPr>
        <w:spacing w:before="40" w:after="80"/>
      </w:pPr>
      <w:r>
        <w:t>The engine supports two approaches:</w:t>
      </w:r>
    </w:p>
    <w:p w14:paraId="7106C810" w14:textId="77777777" w:rsidR="008A18DA" w:rsidRDefault="00000000">
      <w:pPr>
        <w:pStyle w:val="ListBullet"/>
        <w:spacing w:before="20" w:after="40"/>
      </w:pPr>
      <w:r>
        <w:rPr>
          <w:b/>
          <w:color w:val="1E2A3A"/>
        </w:rPr>
        <w:t>BA-CVA (Basic Approach):</w:t>
      </w:r>
      <w:r>
        <w:t xml:space="preserve"> Always available; simpler EAD-based formula; used as fallback</w:t>
      </w:r>
    </w:p>
    <w:p w14:paraId="2C361390" w14:textId="77777777" w:rsidR="008A18DA" w:rsidRDefault="00000000">
      <w:pPr>
        <w:pStyle w:val="ListBullet"/>
        <w:spacing w:before="20" w:after="40"/>
      </w:pPr>
      <w:r>
        <w:rPr>
          <w:b/>
          <w:color w:val="1E2A3A"/>
        </w:rPr>
        <w:t>SA-CVA (Standardised Approach):</w:t>
      </w:r>
      <w:r>
        <w:t xml:space="preserve"> Requires supervisory approval; sensitivity-based; more risk-sensitive</w:t>
      </w:r>
    </w:p>
    <w:p w14:paraId="319937A2" w14:textId="77777777" w:rsidR="008A18DA" w:rsidRDefault="008A18DA">
      <w:pPr>
        <w:pBdr>
          <w:bottom w:val="single" w:sz="6" w:space="1" w:color="9B111E"/>
        </w:pBdr>
      </w:pPr>
    </w:p>
    <w:p w14:paraId="5DF7FDCB" w14:textId="77777777" w:rsidR="008A18DA" w:rsidRDefault="00000000">
      <w:pPr>
        <w:pStyle w:val="Heading3"/>
      </w:pPr>
      <w:r>
        <w:lastRenderedPageBreak/>
        <w:t>8.5.2 Basel Context</w:t>
      </w:r>
    </w:p>
    <w:p w14:paraId="0DD03A94" w14:textId="77777777" w:rsidR="008A18DA" w:rsidRDefault="00000000">
      <w:pPr>
        <w:spacing w:before="40" w:after="80"/>
      </w:pPr>
      <w:r>
        <w:t>MAR50 requires banks to hold capital against movements in CVA, which is the mark-to-market adjustment to a derivatives portfolio's value reflecting counterparty default risk. CVA is distinct from the CCR capital computed by SA-CCR/IMM:</w:t>
      </w:r>
    </w:p>
    <w:p w14:paraId="0863ED7A" w14:textId="77777777" w:rsidR="008A18DA" w:rsidRDefault="00000000">
      <w:pPr>
        <w:pStyle w:val="ListBullet"/>
        <w:spacing w:before="20" w:after="40"/>
      </w:pPr>
      <w:r>
        <w:rPr>
          <w:b/>
          <w:color w:val="1E2A3A"/>
        </w:rPr>
        <w:t>CCR capital</w:t>
      </w:r>
      <w:r>
        <w:t xml:space="preserve"> (SA-CCR/IMM) covers </w:t>
      </w:r>
      <w:r>
        <w:rPr>
          <w:b/>
          <w:color w:val="1E2A3A"/>
        </w:rPr>
        <w:t>expected and unexpected losses from default events</w:t>
      </w:r>
    </w:p>
    <w:p w14:paraId="7C9A0D26" w14:textId="77777777" w:rsidR="008A18DA" w:rsidRDefault="00000000">
      <w:pPr>
        <w:pStyle w:val="ListBullet"/>
        <w:spacing w:before="20" w:after="40"/>
      </w:pPr>
      <w:r>
        <w:rPr>
          <w:b/>
          <w:color w:val="1E2A3A"/>
        </w:rPr>
        <w:t>CVA capital</w:t>
      </w:r>
      <w:r>
        <w:t xml:space="preserve"> (MAR50) covers </w:t>
      </w:r>
      <w:r>
        <w:rPr>
          <w:b/>
          <w:color w:val="1E2A3A"/>
        </w:rPr>
        <w:t>MTM losses from changes in the probability of default</w:t>
      </w:r>
      <w:r>
        <w:t xml:space="preserve"> (spread widening) without an actual default occurring</w:t>
      </w:r>
    </w:p>
    <w:p w14:paraId="3CF774F9" w14:textId="77777777" w:rsidR="008A18DA" w:rsidRDefault="00000000">
      <w:pPr>
        <w:spacing w:before="40" w:after="80"/>
      </w:pPr>
      <w:r>
        <w:t xml:space="preserve">Key regulatory treatment: </w:t>
      </w:r>
      <w:r>
        <w:rPr>
          <w:b/>
        </w:rPr>
        <w:t>CVA RWA is excluded from the output floor base</w:t>
      </w:r>
      <w:r>
        <w:t xml:space="preserve"> (CAP10 FAQ1). This prevents double-counting, as CVA is already sensitive to SA credit spread assumptions.</w:t>
      </w:r>
    </w:p>
    <w:p w14:paraId="7C4F4C32" w14:textId="77777777" w:rsidR="008A18DA" w:rsidRDefault="00000000">
      <w:pPr>
        <w:spacing w:before="40" w:after="80"/>
      </w:pPr>
      <w:r>
        <w:t xml:space="preserve">The CVA engine integrates with real-time market conditions via </w:t>
      </w:r>
      <w:r>
        <w:rPr>
          <w:rFonts w:ascii="Courier New" w:hAnsi="Courier New"/>
        </w:rPr>
        <w:t>CVAMarketDataFeed</w:t>
      </w:r>
      <w:r>
        <w:t>:</w:t>
      </w:r>
    </w:p>
    <w:p w14:paraId="092B0EE8" w14:textId="77777777" w:rsidR="008A18DA" w:rsidRDefault="00000000">
      <w:pPr>
        <w:pStyle w:val="ListBullet"/>
        <w:spacing w:before="20" w:after="40"/>
      </w:pPr>
      <w:r>
        <w:t xml:space="preserve">SOFR/OIS rate from FRED API (series: </w:t>
      </w:r>
      <w:r>
        <w:rPr>
          <w:rFonts w:ascii="Courier New" w:hAnsi="Courier New"/>
          <w:color w:val="C7254E"/>
          <w:sz w:val="18"/>
        </w:rPr>
        <w:t>SOFR</w:t>
      </w:r>
      <w:r>
        <w:t>)</w:t>
      </w:r>
    </w:p>
    <w:p w14:paraId="53E78D9B" w14:textId="77777777" w:rsidR="008A18DA" w:rsidRDefault="00000000">
      <w:pPr>
        <w:pStyle w:val="ListBullet"/>
        <w:spacing w:before="20" w:after="40"/>
      </w:pPr>
      <w:r>
        <w:t xml:space="preserve">IG OAS from FRED (series: </w:t>
      </w:r>
      <w:r>
        <w:rPr>
          <w:rFonts w:ascii="Courier New" w:hAnsi="Courier New"/>
          <w:color w:val="C7254E"/>
          <w:sz w:val="18"/>
        </w:rPr>
        <w:t>BAMLC0A0CM</w:t>
      </w:r>
      <w:r>
        <w:t>)</w:t>
      </w:r>
    </w:p>
    <w:p w14:paraId="75305D67" w14:textId="77777777" w:rsidR="008A18DA" w:rsidRDefault="00000000">
      <w:pPr>
        <w:pStyle w:val="ListBullet"/>
        <w:spacing w:before="20" w:after="40"/>
      </w:pPr>
      <w:r>
        <w:t xml:space="preserve">HY OAS from FRED (series: </w:t>
      </w:r>
      <w:r>
        <w:rPr>
          <w:rFonts w:ascii="Courier New" w:hAnsi="Courier New"/>
          <w:color w:val="C7254E"/>
          <w:sz w:val="18"/>
        </w:rPr>
        <w:t>BAMLH0A0HYM2</w:t>
      </w:r>
      <w:r>
        <w:t>)</w:t>
      </w:r>
    </w:p>
    <w:p w14:paraId="5B7C4069" w14:textId="77777777" w:rsidR="008A18DA" w:rsidRDefault="00000000">
      <w:pPr>
        <w:pStyle w:val="ListBullet"/>
        <w:spacing w:before="20" w:after="40"/>
      </w:pPr>
      <w:r>
        <w:t xml:space="preserve">VIX from FRED or yfinance (series: </w:t>
      </w:r>
      <w:r>
        <w:rPr>
          <w:rFonts w:ascii="Courier New" w:hAnsi="Courier New"/>
          <w:color w:val="C7254E"/>
          <w:sz w:val="18"/>
        </w:rPr>
        <w:t>VIXCLS</w:t>
      </w:r>
      <w:r>
        <w:t>)</w:t>
      </w:r>
    </w:p>
    <w:p w14:paraId="48BFF00F" w14:textId="77777777" w:rsidR="008A18DA" w:rsidRDefault="008A18DA">
      <w:pPr>
        <w:pBdr>
          <w:bottom w:val="single" w:sz="6" w:space="1" w:color="9B111E"/>
        </w:pBdr>
      </w:pPr>
    </w:p>
    <w:p w14:paraId="06694938" w14:textId="77777777" w:rsidR="008A18DA" w:rsidRDefault="00000000">
      <w:pPr>
        <w:pStyle w:val="Heading3"/>
      </w:pPr>
      <w:r>
        <w:t>8.5.3 Functional Objective of Calculations</w:t>
      </w:r>
    </w:p>
    <w:p w14:paraId="102A8DB0" w14:textId="77777777" w:rsidR="008A18DA" w:rsidRDefault="00000000">
      <w:pPr>
        <w:spacing w:before="40" w:after="80"/>
      </w:pPr>
      <w:r>
        <w:rPr>
          <w:b/>
        </w:rPr>
        <w:t>BA-CVA (MAR50, Basic Approach):</w:t>
      </w:r>
    </w:p>
    <w:p w14:paraId="4B8A5016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$$\text{CVA}_\text{capital} = 0.75 \times \text{EAD} \times RW$$</w:t>
      </w:r>
    </w:p>
    <w:p w14:paraId="142F29D8" w14:textId="77777777" w:rsidR="008A18DA" w:rsidRDefault="00000000">
      <w:pPr>
        <w:spacing w:before="40" w:after="80"/>
      </w:pPr>
      <w:r>
        <w:t>where $RW$ is the regulatory risk weight for the counterparty's credit quality tier.</w:t>
      </w:r>
    </w:p>
    <w:p w14:paraId="706512BE" w14:textId="77777777" w:rsidR="008A18DA" w:rsidRDefault="00000000">
      <w:pPr>
        <w:spacing w:before="40" w:after="80"/>
      </w:pPr>
      <w:r>
        <w:rPr>
          <w:b/>
        </w:rPr>
        <w:t>SA-CVA (MAR50.3, Standardised Approach — requires approval):</w:t>
      </w:r>
    </w:p>
    <w:p w14:paraId="708CE39A" w14:textId="77777777" w:rsidR="008A18DA" w:rsidRDefault="00000000">
      <w:pPr>
        <w:spacing w:before="40" w:after="80"/>
      </w:pPr>
      <w:r>
        <w:t>Sensitivity-based calculation analogous to FRTB SBM; sensitivities are derived from CVA's dependence on CDS spreads, interest rates, FX, equity, and commodity risk factors.</w:t>
      </w:r>
    </w:p>
    <w:p w14:paraId="68049064" w14:textId="77777777" w:rsidR="008A18DA" w:rsidRDefault="00000000">
      <w:pPr>
        <w:spacing w:before="40" w:after="80"/>
      </w:pPr>
      <w:r>
        <w:rPr>
          <w:b/>
        </w:rPr>
        <w:t>Automatic fallback logic:</w:t>
      </w:r>
    </w:p>
    <w:p w14:paraId="12243980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if not sa_cva_approved:</w:t>
      </w:r>
    </w:p>
    <w:p w14:paraId="12BEAFEE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   method = "BA-CVA"</w:t>
      </w:r>
    </w:p>
    <w:p w14:paraId="386FFB6D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   log_trace("FALLBACK|CVA|SA-CVA_NOT_APPROVED|Using BA-CVA per MAR50.12")</w:t>
      </w:r>
    </w:p>
    <w:p w14:paraId="3B0D66C1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else:</w:t>
      </w:r>
    </w:p>
    <w:p w14:paraId="0C2BD202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   method = "SA-CVA"</w:t>
      </w:r>
    </w:p>
    <w:p w14:paraId="08244CAE" w14:textId="77777777" w:rsidR="008A18DA" w:rsidRDefault="008A18DA">
      <w:pPr>
        <w:spacing w:after="80"/>
      </w:pPr>
    </w:p>
    <w:p w14:paraId="739E5A4B" w14:textId="77777777" w:rsidR="008A18DA" w:rsidRDefault="00000000">
      <w:pPr>
        <w:spacing w:before="40" w:after="80"/>
      </w:pPr>
      <w:r>
        <w:rPr>
          <w:b/>
        </w:rPr>
        <w:t>Materiality threshold (MAR50.9):</w:t>
      </w:r>
    </w:p>
    <w:p w14:paraId="1CFADA19" w14:textId="77777777" w:rsidR="008A18DA" w:rsidRDefault="00000000">
      <w:pPr>
        <w:spacing w:before="40" w:after="80"/>
      </w:pPr>
      <w:r>
        <w:t>If the notional of derivatives subject to CVA risk is below the BCBS materiality threshold, the institution may use 100% of CCR RWA as a proxy CVA capital charge.</w:t>
      </w:r>
    </w:p>
    <w:p w14:paraId="5E8DA54E" w14:textId="77777777" w:rsidR="008A18DA" w:rsidRDefault="00000000">
      <w:pPr>
        <w:spacing w:before="40" w:after="80"/>
      </w:pPr>
      <w:r>
        <w:rPr>
          <w:b/>
        </w:rPr>
        <w:t>Real-time parameter adjustment:</w:t>
      </w:r>
    </w:p>
    <w:p w14:paraId="7B0B9253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$$\rho_\text{supervisory} = \min(0.50 + 0.30 \times \text{stress\_index},\; 0.80)$$</w:t>
      </w:r>
    </w:p>
    <w:p w14:paraId="05F97710" w14:textId="77777777" w:rsidR="008A18DA" w:rsidRDefault="00000000">
      <w:pPr>
        <w:spacing w:before="40" w:after="80"/>
      </w:pPr>
      <w:r>
        <w:t>where stress index is a function of VIX and HY spreads (floored at 0.50 per MAR50.29 in normal conditions; rising to 0.80 in crisis).</w:t>
      </w:r>
    </w:p>
    <w:p w14:paraId="4E594C7F" w14:textId="77777777" w:rsidR="008A18DA" w:rsidRDefault="008A18DA">
      <w:pPr>
        <w:pBdr>
          <w:bottom w:val="single" w:sz="6" w:space="1" w:color="9B111E"/>
        </w:pBdr>
      </w:pPr>
    </w:p>
    <w:p w14:paraId="52D87A01" w14:textId="77777777" w:rsidR="008A18DA" w:rsidRDefault="00000000">
      <w:pPr>
        <w:pStyle w:val="Heading3"/>
      </w:pPr>
      <w:r>
        <w:t>8.5.4 Parameter Significance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A18DA" w14:paraId="2AB6273F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1E2A3A"/>
            <w:vAlign w:val="center"/>
          </w:tcPr>
          <w:p w14:paraId="55CD5858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FFFFFF"/>
                <w:sz w:val="19"/>
              </w:rPr>
              <w:t>Parameter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1E2A3A"/>
            <w:vAlign w:val="center"/>
          </w:tcPr>
          <w:p w14:paraId="41C31BF5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FFFFFF"/>
                <w:sz w:val="19"/>
              </w:rPr>
              <w:t>Value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1E2A3A"/>
            <w:vAlign w:val="center"/>
          </w:tcPr>
          <w:p w14:paraId="751466BC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FFFFFF"/>
                <w:sz w:val="19"/>
              </w:rPr>
              <w:t>Significance</w:t>
            </w:r>
          </w:p>
        </w:tc>
      </w:tr>
      <w:tr w:rsidR="008A18DA" w14:paraId="392B5B5E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290C5369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BA-CVA coefficient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58E8AD79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0.75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7153DBFD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 xml:space="preserve">Conservative simplification; 75% of EAD-derived charge; penalty </w:t>
            </w:r>
            <w:r>
              <w:rPr>
                <w:sz w:val="19"/>
              </w:rPr>
              <w:lastRenderedPageBreak/>
              <w:t>for not using SA-CVA</w:t>
            </w:r>
          </w:p>
        </w:tc>
      </w:tr>
      <w:tr w:rsidR="008A18DA" w14:paraId="6D3EDCE1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4F5CF28C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lastRenderedPageBreak/>
              <w:t>SA-CVA supervisory rho (ρ)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3BD1D70D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0.50 (floor) to 0.80 (crisis)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7C33E0AA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Correlation between CVA and systematic market risk factors; higher in crisis (diversification breakdown)</w:t>
            </w:r>
          </w:p>
        </w:tc>
      </w:tr>
      <w:tr w:rsidR="008A18DA" w14:paraId="54DD73D0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1FAC9EFF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Risk weight by rating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3C5C6ED5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AAA: 0.5%, AA: 1%, A: 2%, BBB: 3%, BB: 6%, B: 12%, CCC: 25%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4114C52F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Represents idiosyncratic credit spread volatility by rating tier</w:t>
            </w:r>
          </w:p>
        </w:tc>
      </w:tr>
      <w:tr w:rsidR="008A18DA" w14:paraId="6C3B2A67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4EB0E74D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LGD (sector-specific)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73A64EA9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Financials: 60%, Corporates: 60%, Sovereigns: 75%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4E24937E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Market-implied LGD from CDS recovery rates; affects discount factor in CVA formula</w:t>
            </w:r>
          </w:p>
        </w:tc>
      </w:tr>
      <w:tr w:rsidR="008A18DA" w14:paraId="53003A40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34D6A542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Risk-free rate (OIS/SOFR)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298EA7C6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Live FRED fetch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60C725C1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Discount rate for CVA NPV; affects maturity of the CVA exposure</w:t>
            </w:r>
          </w:p>
        </w:tc>
      </w:tr>
      <w:tr w:rsidR="008A18DA" w14:paraId="55C25C23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4AC77A9F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CVA EAD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61B809A4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From SA-CCR output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6C56B749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CVA capital is computed on the same EAD as CCR; ensures consistency</w:t>
            </w:r>
          </w:p>
        </w:tc>
      </w:tr>
      <w:tr w:rsidR="008A18DA" w14:paraId="29A30330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1C5584DB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Materiality threshold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17D68CBE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As per MAR50.9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1CE21DEE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Below threshold → proxy approach; above → full BA-CVA or SA-CVA required</w:t>
            </w:r>
          </w:p>
        </w:tc>
      </w:tr>
    </w:tbl>
    <w:p w14:paraId="6DBE061A" w14:textId="77777777" w:rsidR="008A18DA" w:rsidRDefault="008A18DA"/>
    <w:p w14:paraId="2DFD0018" w14:textId="77777777" w:rsidR="008A18DA" w:rsidRDefault="008A18DA">
      <w:pPr>
        <w:pBdr>
          <w:bottom w:val="single" w:sz="6" w:space="1" w:color="9B111E"/>
        </w:pBdr>
      </w:pPr>
    </w:p>
    <w:p w14:paraId="5DF95ABB" w14:textId="77777777" w:rsidR="008A18DA" w:rsidRDefault="00000000">
      <w:pPr>
        <w:pStyle w:val="Heading3"/>
      </w:pPr>
      <w:r>
        <w:t>8.5.5 Key Success Criteria</w:t>
      </w:r>
    </w:p>
    <w:p w14:paraId="421A92BF" w14:textId="77777777" w:rsidR="008A18DA" w:rsidRDefault="00000000">
      <w:pPr>
        <w:pStyle w:val="ListBullet"/>
        <w:spacing w:before="20" w:after="40"/>
      </w:pPr>
      <w:r>
        <w:t>BA-CVA capital output matches MAR50 formula within &lt; 0.01% tolerance</w:t>
      </w:r>
    </w:p>
    <w:p w14:paraId="107C88EC" w14:textId="77777777" w:rsidR="008A18DA" w:rsidRDefault="00000000">
      <w:pPr>
        <w:pStyle w:val="ListBullet"/>
        <w:spacing w:before="20" w:after="40"/>
      </w:pPr>
      <w:r>
        <w:t xml:space="preserve">SA-CVA fallback trace is logged when </w:t>
      </w:r>
      <w:r>
        <w:rPr>
          <w:rFonts w:ascii="Courier New" w:hAnsi="Courier New"/>
          <w:color w:val="C7254E"/>
          <w:sz w:val="18"/>
        </w:rPr>
        <w:t>sa_cva_approved = False</w:t>
      </w:r>
    </w:p>
    <w:p w14:paraId="149D8FEB" w14:textId="77777777" w:rsidR="008A18DA" w:rsidRDefault="00000000">
      <w:pPr>
        <w:pStyle w:val="ListBullet"/>
        <w:spacing w:before="20" w:after="40"/>
      </w:pPr>
      <w:r>
        <w:rPr>
          <w:rFonts w:ascii="Courier New" w:hAnsi="Courier New"/>
          <w:color w:val="C7254E"/>
          <w:sz w:val="18"/>
        </w:rPr>
        <w:t>supervisory_rho()</w:t>
      </w:r>
      <w:r>
        <w:t xml:space="preserve"> correctly increases from 0.50 to 0.80 as VIX increases from 15 to 80</w:t>
      </w:r>
    </w:p>
    <w:p w14:paraId="7BA6D71A" w14:textId="77777777" w:rsidR="008A18DA" w:rsidRDefault="00000000">
      <w:pPr>
        <w:pStyle w:val="ListBullet"/>
        <w:spacing w:before="20" w:after="40"/>
      </w:pPr>
      <w:r>
        <w:t xml:space="preserve">CVA RWA is correctly </w:t>
      </w:r>
      <w:r>
        <w:rPr>
          <w:b/>
          <w:color w:val="1E2A3A"/>
        </w:rPr>
        <w:t>excluded</w:t>
      </w:r>
      <w:r>
        <w:t xml:space="preserve"> from the output floor base in </w:t>
      </w:r>
      <w:r>
        <w:rPr>
          <w:rFonts w:ascii="Courier New" w:hAnsi="Courier New"/>
          <w:color w:val="C7254E"/>
          <w:sz w:val="18"/>
        </w:rPr>
        <w:t>main.py::PrometheusRunner.run_daily()</w:t>
      </w:r>
    </w:p>
    <w:p w14:paraId="4A96EB25" w14:textId="77777777" w:rsidR="008A18DA" w:rsidRDefault="00000000">
      <w:pPr>
        <w:pStyle w:val="ListBullet"/>
        <w:spacing w:before="20" w:after="40"/>
      </w:pPr>
      <w:r>
        <w:t>Live FRED API fetch succeeds; graceful fallback to hard-coded defaults on network failure</w:t>
      </w:r>
    </w:p>
    <w:p w14:paraId="1AC7B718" w14:textId="77777777" w:rsidR="008A18DA" w:rsidRDefault="00000000">
      <w:pPr>
        <w:pStyle w:val="ListBullet"/>
        <w:spacing w:before="20" w:after="40"/>
      </w:pPr>
      <w:r>
        <w:t>6/6 CVA unit tests pass</w:t>
      </w:r>
    </w:p>
    <w:p w14:paraId="7AC7E696" w14:textId="77777777" w:rsidR="008A18DA" w:rsidRDefault="008A18DA">
      <w:pPr>
        <w:pBdr>
          <w:bottom w:val="single" w:sz="6" w:space="1" w:color="9B111E"/>
        </w:pBdr>
      </w:pPr>
    </w:p>
    <w:p w14:paraId="61E604A6" w14:textId="77777777" w:rsidR="008A18DA" w:rsidRDefault="00000000">
      <w:pPr>
        <w:pStyle w:val="Heading2"/>
      </w:pPr>
      <w:r>
        <w:t>FR-006: CCP Exposure Engine — Central Counterparty Capital</w:t>
      </w:r>
    </w:p>
    <w:p w14:paraId="504D2D65" w14:textId="77777777" w:rsidR="008A18DA" w:rsidRDefault="00000000">
      <w:pPr>
        <w:spacing w:before="40" w:after="80"/>
      </w:pPr>
      <w:r>
        <w:rPr>
          <w:b/>
        </w:rPr>
        <w:t>Basel Standard:</w:t>
      </w:r>
      <w:r>
        <w:t xml:space="preserve"> CRE54</w:t>
      </w:r>
    </w:p>
    <w:p w14:paraId="3BD35468" w14:textId="77777777" w:rsidR="008A18DA" w:rsidRDefault="00000000">
      <w:pPr>
        <w:spacing w:before="40" w:after="80"/>
      </w:pPr>
      <w:r>
        <w:rPr>
          <w:b/>
        </w:rPr>
        <w:t>Priority:</w:t>
      </w:r>
      <w:r>
        <w:t xml:space="preserve"> MEDIUM</w:t>
      </w:r>
    </w:p>
    <w:p w14:paraId="3559F605" w14:textId="77777777" w:rsidR="008A18DA" w:rsidRDefault="00000000">
      <w:pPr>
        <w:spacing w:before="40" w:after="80"/>
      </w:pPr>
      <w:r>
        <w:rPr>
          <w:b/>
        </w:rPr>
        <w:t>Owner:</w:t>
      </w:r>
      <w:r>
        <w:t xml:space="preserve"> Clearing Operations</w:t>
      </w:r>
    </w:p>
    <w:p w14:paraId="573FE84B" w14:textId="77777777" w:rsidR="008A18DA" w:rsidRDefault="00000000">
      <w:pPr>
        <w:spacing w:before="40" w:after="80"/>
      </w:pPr>
      <w:r>
        <w:rPr>
          <w:b/>
        </w:rPr>
        <w:t>File:</w:t>
      </w:r>
      <w:r>
        <w:t xml:space="preserve"> </w:t>
      </w:r>
      <w:r>
        <w:rPr>
          <w:rFonts w:ascii="Courier New" w:hAnsi="Courier New"/>
        </w:rPr>
        <w:t>backend/engines/ccp.py</w:t>
      </w:r>
    </w:p>
    <w:p w14:paraId="49BF7437" w14:textId="77777777" w:rsidR="008A18DA" w:rsidRDefault="008A18DA">
      <w:pPr>
        <w:pBdr>
          <w:bottom w:val="single" w:sz="6" w:space="1" w:color="9B111E"/>
        </w:pBdr>
      </w:pPr>
    </w:p>
    <w:p w14:paraId="50DA3C32" w14:textId="77777777" w:rsidR="008A18DA" w:rsidRDefault="00000000">
      <w:pPr>
        <w:pStyle w:val="Heading3"/>
      </w:pPr>
      <w:r>
        <w:t>8.6.1 Use Case</w:t>
      </w:r>
    </w:p>
    <w:p w14:paraId="5F441850" w14:textId="77777777" w:rsidR="008A18DA" w:rsidRDefault="00000000">
      <w:pPr>
        <w:spacing w:before="40" w:after="80"/>
      </w:pPr>
      <w:r>
        <w:t xml:space="preserve">The CCP engine calculates the regulatory capital a clearing member must hold against its exposures to a </w:t>
      </w:r>
      <w:r>
        <w:rPr>
          <w:b/>
        </w:rPr>
        <w:t>Central Counterparty (CCP)</w:t>
      </w:r>
      <w:r>
        <w:t>. As derivatives clearing mandates (EMIR, Dodd-Frank) have shifted a large portion of OTC derivatives to central clearing, CCP exposure has become a material component of CCR capital.</w:t>
      </w:r>
    </w:p>
    <w:p w14:paraId="5265A036" w14:textId="77777777" w:rsidR="008A18DA" w:rsidRDefault="00000000">
      <w:pPr>
        <w:spacing w:before="40" w:after="80"/>
      </w:pPr>
      <w:r>
        <w:t>Two exposure types are captured:</w:t>
      </w:r>
    </w:p>
    <w:p w14:paraId="1FC007B8" w14:textId="77777777" w:rsidR="008A18DA" w:rsidRDefault="00000000">
      <w:pPr>
        <w:pStyle w:val="ListNumber"/>
        <w:spacing w:before="20" w:after="40"/>
      </w:pPr>
      <w:r>
        <w:rPr>
          <w:b/>
          <w:color w:val="1E2A3A"/>
        </w:rPr>
        <w:lastRenderedPageBreak/>
        <w:t>Trade Exposure:</w:t>
      </w:r>
      <w:r>
        <w:t xml:space="preserve"> The mark-to-market exposure from cleared trades, including posted initial margin</w:t>
      </w:r>
    </w:p>
    <w:p w14:paraId="24F4D7FD" w14:textId="77777777" w:rsidR="008A18DA" w:rsidRDefault="00000000">
      <w:pPr>
        <w:pStyle w:val="ListNumber"/>
        <w:spacing w:before="20" w:after="40"/>
      </w:pPr>
      <w:r>
        <w:rPr>
          <w:b/>
          <w:color w:val="1E2A3A"/>
        </w:rPr>
        <w:t>Default Fund Contribution (DFC):</w:t>
      </w:r>
      <w:r>
        <w:t xml:space="preserve"> Capital against the bank's prefunded contribution to the CCP's default waterfall</w:t>
      </w:r>
    </w:p>
    <w:p w14:paraId="600EDCF3" w14:textId="77777777" w:rsidR="008A18DA" w:rsidRDefault="008A18DA">
      <w:pPr>
        <w:pBdr>
          <w:bottom w:val="single" w:sz="6" w:space="1" w:color="9B111E"/>
        </w:pBdr>
      </w:pPr>
    </w:p>
    <w:p w14:paraId="353F4087" w14:textId="77777777" w:rsidR="008A18DA" w:rsidRDefault="00000000">
      <w:pPr>
        <w:pStyle w:val="Heading3"/>
      </w:pPr>
      <w:r>
        <w:t>8.6.2 Basel Context</w:t>
      </w:r>
    </w:p>
    <w:p w14:paraId="569B443F" w14:textId="77777777" w:rsidR="008A18DA" w:rsidRDefault="00000000">
      <w:pPr>
        <w:spacing w:before="40" w:after="80"/>
      </w:pPr>
      <w:r>
        <w:t xml:space="preserve">CRE54 provides preferential capital treatment for </w:t>
      </w:r>
      <w:r>
        <w:rPr>
          <w:b/>
        </w:rPr>
        <w:t>Qualifying CCPs (QCCPs)</w:t>
      </w:r>
      <w:r>
        <w:t xml:space="preserve"> — typically major clearing houses (LCH, CME, Eurex, JSCC) that meet CPMI-IOSCO Principles for Financial Market Infrastructures. The rationale: CCPs' multilateral netting, margining, and default management procedures reduce systemic risk, so banks should not be discouraged from central clearing by prohibitively high capital charges.</w:t>
      </w:r>
    </w:p>
    <w:p w14:paraId="1D96107C" w14:textId="77777777" w:rsidR="008A18DA" w:rsidRDefault="00000000">
      <w:pPr>
        <w:spacing w:before="40" w:after="80"/>
      </w:pPr>
      <w:r>
        <w:t>Non-qualifying CCPs receive a 100% risk weight (same as a corporate counterparty), providing a strong incentive to use qualifying clearing venues.</w:t>
      </w:r>
    </w:p>
    <w:p w14:paraId="21033898" w14:textId="77777777" w:rsidR="008A18DA" w:rsidRDefault="008A18DA">
      <w:pPr>
        <w:pBdr>
          <w:bottom w:val="single" w:sz="6" w:space="1" w:color="9B111E"/>
        </w:pBdr>
      </w:pPr>
    </w:p>
    <w:p w14:paraId="139EE701" w14:textId="77777777" w:rsidR="008A18DA" w:rsidRDefault="00000000">
      <w:pPr>
        <w:pStyle w:val="Heading3"/>
      </w:pPr>
      <w:r>
        <w:t>8.6.3 Functional Objective of Calculations</w:t>
      </w:r>
    </w:p>
    <w:p w14:paraId="5210C54A" w14:textId="77777777" w:rsidR="008A18DA" w:rsidRDefault="00000000">
      <w:pPr>
        <w:spacing w:before="40" w:after="80"/>
      </w:pPr>
      <w:r>
        <w:rPr>
          <w:b/>
        </w:rPr>
        <w:t>QCCP Trade Exposure (CRE54.4):</w:t>
      </w:r>
    </w:p>
    <w:p w14:paraId="686D7D00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$$\text{RWA}_\text{trade} = \text{EAD}_\text{trade} \times 2\% \times 12.5$$</w:t>
      </w:r>
    </w:p>
    <w:p w14:paraId="4B615007" w14:textId="77777777" w:rsidR="008A18DA" w:rsidRDefault="00000000">
      <w:pPr>
        <w:spacing w:before="40" w:after="80"/>
      </w:pPr>
      <w:r>
        <w:rPr>
          <w:b/>
        </w:rPr>
        <w:t>Initial Margin posted:</w:t>
      </w:r>
    </w:p>
    <w:p w14:paraId="6F47ED03" w14:textId="77777777" w:rsidR="008A18DA" w:rsidRDefault="00000000">
      <w:pPr>
        <w:pStyle w:val="ListBullet"/>
        <w:spacing w:before="20" w:after="40"/>
      </w:pPr>
      <w:r>
        <w:t>Segregated IM → 0% risk weight (CRE54.15): protected from CCP default</w:t>
      </w:r>
    </w:p>
    <w:p w14:paraId="355C8F71" w14:textId="77777777" w:rsidR="008A18DA" w:rsidRDefault="00000000">
      <w:pPr>
        <w:pStyle w:val="ListBullet"/>
        <w:spacing w:before="20" w:after="40"/>
      </w:pPr>
      <w:r>
        <w:t>Non-segregated IM → 2% risk weight: commingled; exposed to CCP default</w:t>
      </w:r>
    </w:p>
    <w:p w14:paraId="3AF7A590" w14:textId="77777777" w:rsidR="008A18DA" w:rsidRDefault="00000000">
      <w:pPr>
        <w:spacing w:before="40" w:after="80"/>
      </w:pPr>
      <w:r>
        <w:rPr>
          <w:b/>
        </w:rPr>
        <w:t>Default Fund Capital (CRE54.31–39 — simplified):</w:t>
      </w:r>
    </w:p>
    <w:p w14:paraId="4997520A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$$K_\text{DFC} = \min(0.08 \times K_\text{CCP},\; \text{DFC} \times 1.6\%)$$</w:t>
      </w:r>
    </w:p>
    <w:p w14:paraId="4D332379" w14:textId="77777777" w:rsidR="008A18DA" w:rsidRDefault="00000000">
      <w:pPr>
        <w:spacing w:before="40" w:after="80"/>
      </w:pPr>
      <w:r>
        <w:rPr>
          <w:b/>
        </w:rPr>
        <w:t>Unfunded DFC commitments (CRE54.42):</w:t>
      </w:r>
    </w:p>
    <w:p w14:paraId="3DE4AAA1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$$\text{RWA}_\text{unfunded} = \text{DFC}_\text{unfunded} \times 12.5 \quad \text{(100\% capital requirement)}$$</w:t>
      </w:r>
    </w:p>
    <w:p w14:paraId="0872BBE2" w14:textId="77777777" w:rsidR="008A18DA" w:rsidRDefault="00000000">
      <w:pPr>
        <w:spacing w:before="40" w:after="80"/>
      </w:pPr>
      <w:r>
        <w:rPr>
          <w:b/>
        </w:rPr>
        <w:t>Client Clearing Intermediary (CRE54.5):</w:t>
      </w:r>
    </w:p>
    <w:p w14:paraId="349E74F7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$$\text{RWA}_\text{client} = \text{EAD}_\text{client} \times 2\% \times 12.5 \quad \text{(if QCCP)}$$</w:t>
      </w:r>
    </w:p>
    <w:p w14:paraId="3DF9F37C" w14:textId="77777777" w:rsidR="008A18DA" w:rsidRDefault="008A18DA">
      <w:pPr>
        <w:pBdr>
          <w:bottom w:val="single" w:sz="6" w:space="1" w:color="9B111E"/>
        </w:pBdr>
      </w:pPr>
    </w:p>
    <w:p w14:paraId="38FEA806" w14:textId="77777777" w:rsidR="008A18DA" w:rsidRDefault="00000000">
      <w:pPr>
        <w:pStyle w:val="Heading3"/>
      </w:pPr>
      <w:r>
        <w:t>8.6.4 Parameter Significance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A18DA" w14:paraId="4F197EC2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1E2A3A"/>
            <w:vAlign w:val="center"/>
          </w:tcPr>
          <w:p w14:paraId="1C80CF11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FFFFFF"/>
                <w:sz w:val="19"/>
              </w:rPr>
              <w:t>Parameter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1E2A3A"/>
            <w:vAlign w:val="center"/>
          </w:tcPr>
          <w:p w14:paraId="14946D56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FFFFFF"/>
                <w:sz w:val="19"/>
              </w:rPr>
              <w:t>Value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1E2A3A"/>
            <w:vAlign w:val="center"/>
          </w:tcPr>
          <w:p w14:paraId="1D332B86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FFFFFF"/>
                <w:sz w:val="19"/>
              </w:rPr>
              <w:t>Significance</w:t>
            </w:r>
          </w:p>
        </w:tc>
      </w:tr>
      <w:tr w:rsidR="008A18DA" w14:paraId="4D7B9F96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2020B278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QCCP risk weight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216B5ED7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2%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2F222F41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Preferential rate; reflects CCP risk mitigation (netting, margining); vs. 100% for bilateral</w:t>
            </w:r>
          </w:p>
        </w:tc>
      </w:tr>
      <w:tr w:rsidR="008A18DA" w14:paraId="4B4526F9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1AA62891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Non-QCCP risk weight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736F0BCE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100%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0624C278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Full corporate credit risk weight; intended to deter use of non-qualifying CCPs</w:t>
            </w:r>
          </w:p>
        </w:tc>
      </w:tr>
      <w:tr w:rsidR="008A18DA" w14:paraId="08F98611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36F4ECD5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Segregated IM risk weight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6D2E8111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0%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2C1A5347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IM held in segregated account is protected from CCP insolvency; therefore zero capital</w:t>
            </w:r>
          </w:p>
        </w:tc>
      </w:tr>
      <w:tr w:rsidR="008A18DA" w14:paraId="6A49A667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6798E149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Non-segregated IM risk weight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6F07A6AD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2%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1392300A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Commingled IM exposed to CCP default; treated as trade exposure</w:t>
            </w:r>
          </w:p>
        </w:tc>
      </w:tr>
      <w:tr w:rsidR="008A18DA" w14:paraId="3C37C0CB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2681B528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lastRenderedPageBreak/>
              <w:t>DFC flat rate (fallback)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590F7D0C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1.6% (CRE54.33)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423D1412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Simplified DFC capital rate when CCP's KCCP (hypothetical capital) is not available</w:t>
            </w:r>
          </w:p>
        </w:tc>
      </w:tr>
      <w:tr w:rsidR="008A18DA" w14:paraId="30AD7824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41EC05CF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Unfunded DFC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16A7BCC7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1250% RW → 100% capital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3C01EB52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Commitment to contribute additional funds to CCP default waterfall; extreme risk weight reflects contingent nature</w:t>
            </w:r>
          </w:p>
        </w:tc>
      </w:tr>
    </w:tbl>
    <w:p w14:paraId="09E6BE45" w14:textId="77777777" w:rsidR="008A18DA" w:rsidRDefault="008A18DA"/>
    <w:p w14:paraId="741E1197" w14:textId="77777777" w:rsidR="008A18DA" w:rsidRDefault="008A18DA">
      <w:pPr>
        <w:pBdr>
          <w:bottom w:val="single" w:sz="6" w:space="1" w:color="9B111E"/>
        </w:pBdr>
      </w:pPr>
    </w:p>
    <w:p w14:paraId="4095B45C" w14:textId="77777777" w:rsidR="008A18DA" w:rsidRDefault="00000000">
      <w:pPr>
        <w:pStyle w:val="Heading3"/>
      </w:pPr>
      <w:r>
        <w:t>8.6.5 Key Success Criteria</w:t>
      </w:r>
    </w:p>
    <w:p w14:paraId="4A34F37B" w14:textId="77777777" w:rsidR="008A18DA" w:rsidRDefault="00000000">
      <w:pPr>
        <w:pStyle w:val="ListBullet"/>
        <w:spacing w:before="20" w:after="40"/>
      </w:pPr>
      <w:r>
        <w:t>QCCP trade EAD correctly attracts 2% risk weight; non-QCCP attracts 100%</w:t>
      </w:r>
    </w:p>
    <w:p w14:paraId="6C6D8927" w14:textId="77777777" w:rsidR="008A18DA" w:rsidRDefault="00000000">
      <w:pPr>
        <w:pStyle w:val="ListBullet"/>
        <w:spacing w:before="20" w:after="40"/>
      </w:pPr>
      <w:r>
        <w:t>Segregated IM produces 0 RWA; non-segregated IM produces 2% RWA</w:t>
      </w:r>
    </w:p>
    <w:p w14:paraId="41338458" w14:textId="77777777" w:rsidR="008A18DA" w:rsidRDefault="00000000">
      <w:pPr>
        <w:pStyle w:val="ListBullet"/>
        <w:spacing w:before="20" w:after="40"/>
      </w:pPr>
      <w:r>
        <w:t>DFC capital correctly applies 1.6% flat rate when KCCP is not provided</w:t>
      </w:r>
    </w:p>
    <w:p w14:paraId="70690273" w14:textId="77777777" w:rsidR="008A18DA" w:rsidRDefault="00000000">
      <w:pPr>
        <w:pStyle w:val="ListBullet"/>
        <w:spacing w:before="20" w:after="40"/>
      </w:pPr>
      <w:r>
        <w:t>Total CCP RWA aggregated across all CCPs and fed into the five-part formula</w:t>
      </w:r>
    </w:p>
    <w:p w14:paraId="078FF7DB" w14:textId="77777777" w:rsidR="008A18DA" w:rsidRDefault="00000000">
      <w:pPr>
        <w:pStyle w:val="ListBullet"/>
        <w:spacing w:before="20" w:after="40"/>
      </w:pPr>
      <w:r>
        <w:t>4/4 CCP unit tests pass</w:t>
      </w:r>
    </w:p>
    <w:p w14:paraId="39244C9F" w14:textId="77777777" w:rsidR="008A18DA" w:rsidRDefault="008A18DA">
      <w:pPr>
        <w:pBdr>
          <w:bottom w:val="single" w:sz="6" w:space="1" w:color="9B111E"/>
        </w:pBdr>
      </w:pPr>
    </w:p>
    <w:p w14:paraId="409C5537" w14:textId="77777777" w:rsidR="008A18DA" w:rsidRDefault="00000000">
      <w:pPr>
        <w:pStyle w:val="Heading2"/>
      </w:pPr>
      <w:r>
        <w:t>FR-007: Daily Risk Orchestrator — Five-Part RWA Formula</w:t>
      </w:r>
    </w:p>
    <w:p w14:paraId="487DF692" w14:textId="77777777" w:rsidR="008A18DA" w:rsidRDefault="00000000">
      <w:pPr>
        <w:spacing w:before="40" w:after="80"/>
      </w:pPr>
      <w:r>
        <w:rPr>
          <w:b/>
        </w:rPr>
        <w:t>Basel Standard:</w:t>
      </w:r>
      <w:r>
        <w:t xml:space="preserve"> RBC20.9, RBC20.11</w:t>
      </w:r>
    </w:p>
    <w:p w14:paraId="236925D8" w14:textId="77777777" w:rsidR="008A18DA" w:rsidRDefault="00000000">
      <w:pPr>
        <w:spacing w:before="40" w:after="80"/>
      </w:pPr>
      <w:r>
        <w:rPr>
          <w:b/>
        </w:rPr>
        <w:t>Priority:</w:t>
      </w:r>
      <w:r>
        <w:t xml:space="preserve"> CRITICAL</w:t>
      </w:r>
    </w:p>
    <w:p w14:paraId="13DD8B0A" w14:textId="77777777" w:rsidR="008A18DA" w:rsidRDefault="00000000">
      <w:pPr>
        <w:spacing w:before="40" w:after="80"/>
      </w:pPr>
      <w:r>
        <w:rPr>
          <w:b/>
        </w:rPr>
        <w:t>Owner:</w:t>
      </w:r>
      <w:r>
        <w:t xml:space="preserve"> Risk Operations</w:t>
      </w:r>
    </w:p>
    <w:p w14:paraId="352BC19F" w14:textId="77777777" w:rsidR="008A18DA" w:rsidRDefault="00000000">
      <w:pPr>
        <w:spacing w:before="40" w:after="80"/>
      </w:pPr>
      <w:r>
        <w:rPr>
          <w:b/>
        </w:rPr>
        <w:t>File:</w:t>
      </w:r>
      <w:r>
        <w:t xml:space="preserve"> </w:t>
      </w:r>
      <w:r>
        <w:rPr>
          <w:rFonts w:ascii="Courier New" w:hAnsi="Courier New"/>
        </w:rPr>
        <w:t>backend/main.py</w:t>
      </w:r>
      <w:r>
        <w:t xml:space="preserve"> (</w:t>
      </w:r>
      <w:r>
        <w:rPr>
          <w:rFonts w:ascii="Courier New" w:hAnsi="Courier New"/>
        </w:rPr>
        <w:t>PrometheusRunner</w:t>
      </w:r>
      <w:r>
        <w:t>)</w:t>
      </w:r>
    </w:p>
    <w:p w14:paraId="6AAFB312" w14:textId="77777777" w:rsidR="008A18DA" w:rsidRDefault="008A18DA">
      <w:pPr>
        <w:pBdr>
          <w:bottom w:val="single" w:sz="6" w:space="1" w:color="9B111E"/>
        </w:pBdr>
      </w:pPr>
    </w:p>
    <w:p w14:paraId="7175B039" w14:textId="77777777" w:rsidR="008A18DA" w:rsidRDefault="00000000">
      <w:pPr>
        <w:pStyle w:val="Heading3"/>
      </w:pPr>
      <w:r>
        <w:t>8.7.1 Use Case</w:t>
      </w:r>
    </w:p>
    <w:p w14:paraId="4AF6701F" w14:textId="77777777" w:rsidR="008A18DA" w:rsidRDefault="00000000">
      <w:pPr>
        <w:spacing w:before="40" w:after="80"/>
      </w:pPr>
      <w:r>
        <w:t>The Orchestrator (</w:t>
      </w:r>
      <w:r>
        <w:rPr>
          <w:rFonts w:ascii="Courier New" w:hAnsi="Courier New"/>
        </w:rPr>
        <w:t>PrometheusRunner</w:t>
      </w:r>
      <w:r>
        <w:t>) coordinates all six engines into a single, sequential daily risk run. It loads portfolio data, dispatches calculations to each engine, aggregates RWA components, applies the output floor, and persists results with a full audit trail. It is the single entry point for the daily risk calculation cycle.</w:t>
      </w:r>
    </w:p>
    <w:p w14:paraId="6B382103" w14:textId="77777777" w:rsidR="008A18DA" w:rsidRDefault="008A18DA">
      <w:pPr>
        <w:pBdr>
          <w:bottom w:val="single" w:sz="6" w:space="1" w:color="9B111E"/>
        </w:pBdr>
      </w:pPr>
    </w:p>
    <w:p w14:paraId="6357626E" w14:textId="77777777" w:rsidR="008A18DA" w:rsidRDefault="00000000">
      <w:pPr>
        <w:pStyle w:val="Heading3"/>
      </w:pPr>
      <w:r>
        <w:t>8.7.2 Basel Context</w:t>
      </w:r>
    </w:p>
    <w:p w14:paraId="2A67F6D8" w14:textId="77777777" w:rsidR="008A18DA" w:rsidRDefault="00000000">
      <w:pPr>
        <w:spacing w:before="40" w:after="80"/>
      </w:pPr>
      <w:r>
        <w:t>RBC20.9 specifies that Total RWA is the sum of all risk components:</w:t>
      </w:r>
    </w:p>
    <w:p w14:paraId="717590FC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$$\text{Total RWA} = \text{RWA}_\text{Credit} + \text{RWA}_\text{CCR} + \text{RWA}_\text{Market} + \text{RWA}_\text{CVA} + \text{RWA}_\text{CCP} + \text{RWA}_\text{OpRisk}$$</w:t>
      </w:r>
    </w:p>
    <w:p w14:paraId="46480F8E" w14:textId="77777777" w:rsidR="008A18DA" w:rsidRDefault="00000000">
      <w:pPr>
        <w:spacing w:before="40" w:after="80"/>
      </w:pPr>
      <w:r>
        <w:t>RBC20.11 imposes the output floor:</w:t>
      </w:r>
    </w:p>
    <w:p w14:paraId="558985BD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$$\text{Final RWA} = \max\!\left(\text{Total RWA},\; 72.5\% \times \text{SA-based RWA}\right)$$</w:t>
      </w:r>
    </w:p>
    <w:p w14:paraId="17DC849F" w14:textId="77777777" w:rsidR="008A18DA" w:rsidRDefault="00000000">
      <w:pPr>
        <w:spacing w:before="40" w:after="80"/>
      </w:pPr>
      <w:r>
        <w:rPr>
          <w:b/>
        </w:rPr>
        <w:t>CVA excluded from floor base (CAP10 FAQ1):</w:t>
      </w:r>
      <w:r>
        <w:t xml:space="preserve"> The SA-based RWA in the floor denominator excludes CVA RWA, as CVA is already sensitivity-based. Including it would introduce double-counting.</w:t>
      </w:r>
    </w:p>
    <w:p w14:paraId="01D87CE4" w14:textId="77777777" w:rsidR="008A18DA" w:rsidRDefault="008A18DA">
      <w:pPr>
        <w:pBdr>
          <w:bottom w:val="single" w:sz="6" w:space="1" w:color="9B111E"/>
        </w:pBdr>
      </w:pPr>
    </w:p>
    <w:p w14:paraId="693BE1FC" w14:textId="77777777" w:rsidR="008A18DA" w:rsidRDefault="00000000">
      <w:pPr>
        <w:pStyle w:val="Heading3"/>
      </w:pPr>
      <w:r>
        <w:lastRenderedPageBreak/>
        <w:t>8.7.3 Functional Objective of Calculations</w:t>
      </w:r>
    </w:p>
    <w:p w14:paraId="3959725E" w14:textId="77777777" w:rsidR="008A18DA" w:rsidRDefault="00000000">
      <w:pPr>
        <w:spacing w:before="40" w:after="80"/>
      </w:pPr>
      <w:r>
        <w:t>The orchestration flow executes in strict sequential order to ensure dependencies are met:</w:t>
      </w:r>
    </w:p>
    <w:p w14:paraId="37854742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1. Load dataset (portfolio_generator.build_full_dataset)</w:t>
      </w:r>
    </w:p>
    <w:p w14:paraId="0F0B70EB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2. For each derivative portfolio:</w:t>
      </w:r>
    </w:p>
    <w:p w14:paraId="44F794DA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  a. SA-CCR EAD calculation</w:t>
      </w:r>
    </w:p>
    <w:p w14:paraId="691652D9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  b. IMM EAD calculation (if IMM-eligible trades present)</w:t>
      </w:r>
    </w:p>
    <w:p w14:paraId="18753F01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  c. IMM floor check: if EAD_IMM_CSA &lt; 50% × EAD_SA-CCR → FALLBACK</w:t>
      </w:r>
    </w:p>
    <w:p w14:paraId="64FEB99D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  d. FRTB SBM + IMA calculation</w:t>
      </w:r>
    </w:p>
    <w:p w14:paraId="1B23BB57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  e. Aggregate RWA_CCR and RWA_Market</w:t>
      </w:r>
    </w:p>
    <w:p w14:paraId="44D6C362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3. For each banking book portfolio:</w:t>
      </w:r>
    </w:p>
    <w:p w14:paraId="7E126B14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  a. A-IRB RWA calculation (including double-default, SME, EL shortfall)</w:t>
      </w:r>
    </w:p>
    <w:p w14:paraId="23A2CE5C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  b. Aggregate RWA_Credit</w:t>
      </w:r>
    </w:p>
    <w:p w14:paraId="37D36F12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4. CVA calculation (BA-CVA or SA-CVA based on approval flag)</w:t>
      </w:r>
    </w:p>
    <w:p w14:paraId="4558E29A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5. CCP RWA calculation (QCCP + DFC)</w:t>
      </w:r>
    </w:p>
    <w:p w14:paraId="7DF9F858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6. Operational Risk RWA stub (OPE25 BIA)</w:t>
      </w:r>
    </w:p>
    <w:p w14:paraId="79B95654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7. Five-part RWA formula:</w:t>
      </w:r>
    </w:p>
    <w:p w14:paraId="5631D936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  Total_RWA = RWA_Credit + RWA_CCR + RWA_Market + RWA_CVA + RWA_CCP + RWA_OpRisk</w:t>
      </w:r>
    </w:p>
    <w:p w14:paraId="5166E0D5" w14:textId="77777777" w:rsidR="008A18DA" w:rsidRPr="0067037A" w:rsidRDefault="00000000">
      <w:pPr>
        <w:shd w:val="clear" w:color="auto" w:fill="F4F4F4"/>
        <w:spacing w:after="0"/>
        <w:ind w:left="432"/>
        <w:rPr>
          <w:lang w:val="fr-FR"/>
        </w:rPr>
      </w:pPr>
      <w:r w:rsidRPr="0067037A">
        <w:rPr>
          <w:rFonts w:ascii="Courier New" w:hAnsi="Courier New"/>
          <w:color w:val="2D2D2D"/>
          <w:sz w:val="17"/>
          <w:lang w:val="fr-FR"/>
        </w:rPr>
        <w:t>8. Output floor:</w:t>
      </w:r>
    </w:p>
    <w:p w14:paraId="72CC1AA6" w14:textId="77777777" w:rsidR="008A18DA" w:rsidRPr="0067037A" w:rsidRDefault="00000000">
      <w:pPr>
        <w:shd w:val="clear" w:color="auto" w:fill="F4F4F4"/>
        <w:spacing w:after="0"/>
        <w:ind w:left="432"/>
        <w:rPr>
          <w:lang w:val="fr-FR"/>
        </w:rPr>
      </w:pPr>
      <w:r w:rsidRPr="0067037A">
        <w:rPr>
          <w:rFonts w:ascii="Courier New" w:hAnsi="Courier New"/>
          <w:color w:val="2D2D2D"/>
          <w:sz w:val="17"/>
          <w:lang w:val="fr-FR"/>
        </w:rPr>
        <w:t xml:space="preserve">   SA_base = RWA_Credit_SA + RWA_CCR_SA + RWA_Market_SA + RWA_CCP_SA</w:t>
      </w:r>
    </w:p>
    <w:p w14:paraId="1B275941" w14:textId="77777777" w:rsidR="008A18DA" w:rsidRDefault="00000000">
      <w:pPr>
        <w:shd w:val="clear" w:color="auto" w:fill="F4F4F4"/>
        <w:spacing w:after="0"/>
        <w:ind w:left="432"/>
      </w:pPr>
      <w:r w:rsidRPr="0067037A">
        <w:rPr>
          <w:rFonts w:ascii="Courier New" w:hAnsi="Courier New"/>
          <w:color w:val="2D2D2D"/>
          <w:sz w:val="17"/>
          <w:lang w:val="fr-FR"/>
        </w:rPr>
        <w:t xml:space="preserve">   </w:t>
      </w:r>
      <w:r>
        <w:rPr>
          <w:rFonts w:ascii="Courier New" w:hAnsi="Courier New"/>
          <w:color w:val="2D2D2D"/>
          <w:sz w:val="17"/>
        </w:rPr>
        <w:t>Final_RWA = max(Total_RWA, 0.725 × SA_base)</w:t>
      </w:r>
    </w:p>
    <w:p w14:paraId="4F97CB55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9. Capital requirement:</w:t>
      </w:r>
    </w:p>
    <w:p w14:paraId="0D6068FA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  Capital = Final_RWA × 8%</w:t>
      </w:r>
    </w:p>
    <w:p w14:paraId="46A80447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10. Persist results + audit logs (persistence.py)</w:t>
      </w:r>
    </w:p>
    <w:p w14:paraId="36B9003E" w14:textId="77777777" w:rsidR="008A18DA" w:rsidRDefault="008A18DA">
      <w:pPr>
        <w:spacing w:after="80"/>
      </w:pPr>
    </w:p>
    <w:p w14:paraId="724B2C4D" w14:textId="77777777" w:rsidR="008A18DA" w:rsidRDefault="008A18DA">
      <w:pPr>
        <w:pBdr>
          <w:bottom w:val="single" w:sz="6" w:space="1" w:color="9B111E"/>
        </w:pBdr>
      </w:pPr>
    </w:p>
    <w:p w14:paraId="48EF87C0" w14:textId="77777777" w:rsidR="008A18DA" w:rsidRDefault="00000000">
      <w:pPr>
        <w:pStyle w:val="Heading3"/>
      </w:pPr>
      <w:r>
        <w:t>8.7.4 Parameter Significance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A18DA" w14:paraId="2A2E9F43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1E2A3A"/>
            <w:vAlign w:val="center"/>
          </w:tcPr>
          <w:p w14:paraId="28379B4E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FFFFFF"/>
                <w:sz w:val="19"/>
              </w:rPr>
              <w:t>Parameter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1E2A3A"/>
            <w:vAlign w:val="center"/>
          </w:tcPr>
          <w:p w14:paraId="784DCEE8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FFFFFF"/>
                <w:sz w:val="19"/>
              </w:rPr>
              <w:t>Value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1E2A3A"/>
            <w:vAlign w:val="center"/>
          </w:tcPr>
          <w:p w14:paraId="5C0796BC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FFFFFF"/>
                <w:sz w:val="19"/>
              </w:rPr>
              <w:t>Significance</w:t>
            </w:r>
          </w:p>
        </w:tc>
      </w:tr>
      <w:tr w:rsidR="008A18DA" w14:paraId="04C8CFDB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59A09592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Output floor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0096DFC7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72.5%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371391B0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Basel IV transition floor; prevents advanced approach banks from holding &lt; 72.5% of SA-equivalent RWA; reaches 100% by 2028 in BCBS phased timeline</w:t>
            </w:r>
          </w:p>
        </w:tc>
      </w:tr>
      <w:tr w:rsidR="008A18DA" w14:paraId="4DED4846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26DAA501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Capital ratio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2CF8E3CB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8%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6347A0B6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Minimum CET1+T1+T2 ratio per RBC20; Total RWA × 8% = minimum required regulatory capital</w:t>
            </w:r>
          </w:p>
        </w:tc>
      </w:tr>
      <w:tr w:rsidR="008A18DA" w14:paraId="049E7AC1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22FA7D53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Alpha (SA-CCR/IMM)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7EA68F19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1.4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56CCA9E4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Common multiplier applied before feeding EAD to RWA formula; ensures conservatism regardless of approach</w:t>
            </w:r>
          </w:p>
        </w:tc>
      </w:tr>
      <w:tr w:rsidR="008A18DA" w14:paraId="1C4C3070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4ED7F94E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IMM floor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4E841235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50%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3BBB522C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EAD_IMM must be at least 50% of EAD_SA-CCR; prevents excessive IMM optimisation</w:t>
            </w:r>
          </w:p>
        </w:tc>
      </w:tr>
      <w:tr w:rsidR="008A18DA" w14:paraId="23032AE0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31EAF2FC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OPE25 BIA factor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1D786D2A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15%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30009FE7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Basic Indicator Approach: 15% × 3-year average gross income; placeholder pending Sprint E</w:t>
            </w:r>
          </w:p>
        </w:tc>
      </w:tr>
    </w:tbl>
    <w:p w14:paraId="4B909191" w14:textId="77777777" w:rsidR="008A18DA" w:rsidRDefault="008A18DA"/>
    <w:p w14:paraId="042D3861" w14:textId="77777777" w:rsidR="008A18DA" w:rsidRDefault="008A18DA">
      <w:pPr>
        <w:pBdr>
          <w:bottom w:val="single" w:sz="6" w:space="1" w:color="9B111E"/>
        </w:pBdr>
      </w:pPr>
    </w:p>
    <w:p w14:paraId="55D88667" w14:textId="77777777" w:rsidR="008A18DA" w:rsidRDefault="00000000">
      <w:pPr>
        <w:pStyle w:val="Heading3"/>
      </w:pPr>
      <w:r>
        <w:t>8.7.5 Key Success Criteria</w:t>
      </w:r>
    </w:p>
    <w:p w14:paraId="6EA8FADA" w14:textId="77777777" w:rsidR="008A18DA" w:rsidRDefault="00000000">
      <w:pPr>
        <w:pStyle w:val="ListBullet"/>
        <w:spacing w:before="20" w:after="40"/>
      </w:pPr>
      <w:r>
        <w:t>All six RWA components produced in a single run call</w:t>
      </w:r>
    </w:p>
    <w:p w14:paraId="63AC6A70" w14:textId="77777777" w:rsidR="008A18DA" w:rsidRDefault="00000000">
      <w:pPr>
        <w:pStyle w:val="ListBullet"/>
        <w:spacing w:before="20" w:after="40"/>
      </w:pPr>
      <w:r>
        <w:t>Output floor correctly applied; CVA excluded from floor base</w:t>
      </w:r>
    </w:p>
    <w:p w14:paraId="687C4472" w14:textId="77777777" w:rsidR="008A18DA" w:rsidRDefault="00000000">
      <w:pPr>
        <w:pStyle w:val="ListBullet"/>
        <w:spacing w:before="20" w:after="40"/>
      </w:pPr>
      <w:r>
        <w:lastRenderedPageBreak/>
        <w:t>IMM fallback trace logged at WARNING level when floor violated</w:t>
      </w:r>
    </w:p>
    <w:p w14:paraId="025AA9A0" w14:textId="77777777" w:rsidR="008A18DA" w:rsidRDefault="00000000">
      <w:pPr>
        <w:pStyle w:val="ListBullet"/>
        <w:spacing w:before="20" w:after="40"/>
      </w:pPr>
      <w:r>
        <w:t>Total run time &lt; 5 minutes on M1 MacBook Air 8 GB</w:t>
      </w:r>
    </w:p>
    <w:p w14:paraId="6B2A1B4A" w14:textId="77777777" w:rsidR="008A18DA" w:rsidRDefault="00000000">
      <w:pPr>
        <w:pStyle w:val="ListBullet"/>
        <w:spacing w:before="20" w:after="40"/>
      </w:pPr>
      <w:r>
        <w:t xml:space="preserve">Results persisted to PostgreSQL </w:t>
      </w:r>
      <w:r>
        <w:rPr>
          <w:rFonts w:ascii="Courier New" w:hAnsi="Courier New"/>
          <w:color w:val="C7254E"/>
          <w:sz w:val="18"/>
        </w:rPr>
        <w:t>risk.rwa_results</w:t>
      </w:r>
      <w:r>
        <w:t xml:space="preserve"> and </w:t>
      </w:r>
      <w:r>
        <w:rPr>
          <w:rFonts w:ascii="Courier New" w:hAnsi="Courier New"/>
          <w:color w:val="C7254E"/>
          <w:sz w:val="18"/>
        </w:rPr>
        <w:t>audit.run_logs</w:t>
      </w:r>
    </w:p>
    <w:p w14:paraId="4965E09E" w14:textId="77777777" w:rsidR="008A18DA" w:rsidRDefault="00000000">
      <w:pPr>
        <w:pStyle w:val="ListBullet"/>
        <w:spacing w:before="20" w:after="40"/>
      </w:pPr>
      <w:r>
        <w:t>Results JSON structure fully populated for dashboard consumption</w:t>
      </w:r>
    </w:p>
    <w:p w14:paraId="6466EC08" w14:textId="77777777" w:rsidR="008A18DA" w:rsidRDefault="008A18DA">
      <w:pPr>
        <w:pBdr>
          <w:bottom w:val="single" w:sz="6" w:space="1" w:color="9B111E"/>
        </w:pBdr>
      </w:pPr>
    </w:p>
    <w:p w14:paraId="5B79D88E" w14:textId="77777777" w:rsidR="008A18DA" w:rsidRDefault="00000000">
      <w:pPr>
        <w:pStyle w:val="Heading2"/>
      </w:pPr>
      <w:r>
        <w:t>FR-008: Market Data Integration</w:t>
      </w:r>
    </w:p>
    <w:p w14:paraId="6C759DC5" w14:textId="77777777" w:rsidR="008A18DA" w:rsidRDefault="00000000">
      <w:pPr>
        <w:spacing w:before="40" w:after="80"/>
      </w:pPr>
      <w:r>
        <w:rPr>
          <w:b/>
        </w:rPr>
        <w:t>Priority:</w:t>
      </w:r>
      <w:r>
        <w:t xml:space="preserve"> HIGH</w:t>
      </w:r>
    </w:p>
    <w:p w14:paraId="773274C4" w14:textId="77777777" w:rsidR="008A18DA" w:rsidRDefault="00000000">
      <w:pPr>
        <w:spacing w:before="40" w:after="80"/>
      </w:pPr>
      <w:r>
        <w:rPr>
          <w:b/>
        </w:rPr>
        <w:t>Owner:</w:t>
      </w:r>
      <w:r>
        <w:t xml:space="preserve"> IT Infrastructure / Market Risk</w:t>
      </w:r>
    </w:p>
    <w:p w14:paraId="65B67A1D" w14:textId="77777777" w:rsidR="008A18DA" w:rsidRDefault="00000000">
      <w:pPr>
        <w:spacing w:before="40" w:after="80"/>
      </w:pPr>
      <w:r>
        <w:rPr>
          <w:b/>
        </w:rPr>
        <w:t>Files:</w:t>
      </w:r>
      <w:r>
        <w:t xml:space="preserve"> </w:t>
      </w:r>
      <w:r>
        <w:rPr>
          <w:rFonts w:ascii="Courier New" w:hAnsi="Courier New"/>
        </w:rPr>
        <w:t>backend/data_sources/market_data_provider.py</w:t>
      </w:r>
      <w:r>
        <w:t xml:space="preserve">, </w:t>
      </w:r>
      <w:r>
        <w:rPr>
          <w:rFonts w:ascii="Courier New" w:hAnsi="Courier New"/>
        </w:rPr>
        <w:t>backend/data_sources/cds_spread_service.py</w:t>
      </w:r>
      <w:r>
        <w:t xml:space="preserve">, </w:t>
      </w:r>
      <w:r>
        <w:rPr>
          <w:rFonts w:ascii="Courier New" w:hAnsi="Courier New"/>
        </w:rPr>
        <w:t>backend/data_sources/market_state.py</w:t>
      </w:r>
      <w:r>
        <w:t xml:space="preserve">, </w:t>
      </w:r>
      <w:r>
        <w:rPr>
          <w:rFonts w:ascii="Courier New" w:hAnsi="Courier New"/>
        </w:rPr>
        <w:t>backend/data_sources/calibration.py</w:t>
      </w:r>
    </w:p>
    <w:p w14:paraId="24778E91" w14:textId="77777777" w:rsidR="008A18DA" w:rsidRDefault="008A18DA">
      <w:pPr>
        <w:pBdr>
          <w:bottom w:val="single" w:sz="6" w:space="1" w:color="9B111E"/>
        </w:pBdr>
      </w:pPr>
    </w:p>
    <w:p w14:paraId="19A516F6" w14:textId="77777777" w:rsidR="008A18DA" w:rsidRDefault="00000000">
      <w:pPr>
        <w:pStyle w:val="Heading3"/>
      </w:pPr>
      <w:r>
        <w:t>8.8.1 Use Case</w:t>
      </w:r>
    </w:p>
    <w:p w14:paraId="6D6E9D60" w14:textId="77777777" w:rsidR="008A18DA" w:rsidRDefault="00000000">
      <w:pPr>
        <w:spacing w:before="40" w:after="80"/>
      </w:pPr>
      <w:r>
        <w:t>The market data infrastructure supplies real-time and historical inputs to all risk engines: CDS spreads (for CVA and A-IRB), yield curves (for SA-CCR duration calculation), volatility surfaces (for FRTB vega), VIX and credit indices (for market regime classification), and OIS/SOFR rates (for CVA discounting).</w:t>
      </w:r>
    </w:p>
    <w:p w14:paraId="47986D0D" w14:textId="77777777" w:rsidR="008A18DA" w:rsidRDefault="008A18DA">
      <w:pPr>
        <w:pBdr>
          <w:bottom w:val="single" w:sz="6" w:space="1" w:color="9B111E"/>
        </w:pBdr>
      </w:pPr>
    </w:p>
    <w:p w14:paraId="3D9C6B42" w14:textId="77777777" w:rsidR="008A18DA" w:rsidRDefault="00000000">
      <w:pPr>
        <w:pStyle w:val="Heading3"/>
      </w:pPr>
      <w:r>
        <w:t>8.8.2 Functional Objective</w:t>
      </w:r>
    </w:p>
    <w:p w14:paraId="34CB8D28" w14:textId="77777777" w:rsidR="008A18DA" w:rsidRDefault="00000000">
      <w:pPr>
        <w:spacing w:before="40" w:after="80"/>
      </w:pPr>
      <w:r>
        <w:t xml:space="preserve">The abstract </w:t>
      </w:r>
      <w:r>
        <w:rPr>
          <w:rFonts w:ascii="Courier New" w:hAnsi="Courier New"/>
        </w:rPr>
        <w:t>MarketDataProvider</w:t>
      </w:r>
      <w:r>
        <w:t xml:space="preserve"> interface defines three core methods:</w:t>
      </w:r>
    </w:p>
    <w:p w14:paraId="7FF30AA0" w14:textId="77777777" w:rsidR="008A18DA" w:rsidRDefault="00000000">
      <w:pPr>
        <w:pStyle w:val="ListBullet"/>
        <w:spacing w:before="20" w:after="40"/>
      </w:pPr>
      <w:r>
        <w:rPr>
          <w:rFonts w:ascii="Courier New" w:hAnsi="Courier New"/>
          <w:color w:val="C7254E"/>
          <w:sz w:val="18"/>
        </w:rPr>
        <w:t>fetch_cds_spreads(obligor_id, tenors, as_of_date)</w:t>
      </w:r>
      <w:r>
        <w:t xml:space="preserve"> → Dict[tenor, spread_bp]</w:t>
      </w:r>
    </w:p>
    <w:p w14:paraId="29EB86D3" w14:textId="77777777" w:rsidR="008A18DA" w:rsidRDefault="00000000">
      <w:pPr>
        <w:pStyle w:val="ListBullet"/>
        <w:spacing w:before="20" w:after="40"/>
      </w:pPr>
      <w:r>
        <w:rPr>
          <w:rFonts w:ascii="Courier New" w:hAnsi="Courier New"/>
          <w:color w:val="C7254E"/>
          <w:sz w:val="18"/>
        </w:rPr>
        <w:t>fetch_recovery_rate(obligor_id, as_of_date)</w:t>
      </w:r>
      <w:r>
        <w:t xml:space="preserve"> → float</w:t>
      </w:r>
    </w:p>
    <w:p w14:paraId="4BA0194E" w14:textId="77777777" w:rsidR="008A18DA" w:rsidRDefault="00000000">
      <w:pPr>
        <w:pStyle w:val="ListBullet"/>
        <w:spacing w:before="20" w:after="40"/>
      </w:pPr>
      <w:r>
        <w:rPr>
          <w:rFonts w:ascii="Courier New" w:hAnsi="Courier New"/>
          <w:color w:val="C7254E"/>
          <w:sz w:val="18"/>
        </w:rPr>
        <w:t>fetch_risk_free_rate(currency, tenor, as_of_date)</w:t>
      </w:r>
      <w:r>
        <w:t xml:space="preserve"> → float</w:t>
      </w:r>
    </w:p>
    <w:p w14:paraId="57F79835" w14:textId="77777777" w:rsidR="008A18DA" w:rsidRDefault="00000000">
      <w:pPr>
        <w:spacing w:before="40" w:after="80"/>
      </w:pPr>
      <w:r>
        <w:t xml:space="preserve">Concrete implementations: </w:t>
      </w:r>
      <w:r>
        <w:rPr>
          <w:rFonts w:ascii="Courier New" w:hAnsi="Courier New"/>
        </w:rPr>
        <w:t>BloombergProvider</w:t>
      </w:r>
      <w:r>
        <w:t xml:space="preserve">, </w:t>
      </w:r>
      <w:r>
        <w:rPr>
          <w:rFonts w:ascii="Courier New" w:hAnsi="Courier New"/>
        </w:rPr>
        <w:t>RefinitivProvider</w:t>
      </w:r>
      <w:r>
        <w:t xml:space="preserve">, </w:t>
      </w:r>
      <w:r>
        <w:rPr>
          <w:rFonts w:ascii="Courier New" w:hAnsi="Courier New"/>
        </w:rPr>
        <w:t>InternalFeedProvider</w:t>
      </w:r>
      <w:r>
        <w:t xml:space="preserve">, </w:t>
      </w:r>
      <w:r>
        <w:rPr>
          <w:rFonts w:ascii="Courier New" w:hAnsi="Courier New"/>
        </w:rPr>
        <w:t>StaticTestProvider</w:t>
      </w:r>
      <w:r>
        <w:t>.</w:t>
      </w:r>
    </w:p>
    <w:p w14:paraId="5096FF0C" w14:textId="77777777" w:rsidR="008A18DA" w:rsidRDefault="00000000">
      <w:pPr>
        <w:spacing w:before="40" w:after="80"/>
      </w:pPr>
      <w:r>
        <w:rPr>
          <w:rFonts w:ascii="Courier New" w:hAnsi="Courier New"/>
        </w:rPr>
        <w:t>CDSSpreadService</w:t>
      </w:r>
      <w:r>
        <w:t xml:space="preserve"> wraps providers with:</w:t>
      </w:r>
    </w:p>
    <w:p w14:paraId="4BC34860" w14:textId="77777777" w:rsidR="008A18DA" w:rsidRDefault="00000000">
      <w:pPr>
        <w:pStyle w:val="ListBullet"/>
        <w:spacing w:before="20" w:after="40"/>
      </w:pPr>
      <w:r>
        <w:t>Primary→fallback cascade logic</w:t>
      </w:r>
    </w:p>
    <w:p w14:paraId="1DBC5CA0" w14:textId="77777777" w:rsidR="008A18DA" w:rsidRDefault="00000000">
      <w:pPr>
        <w:pStyle w:val="ListBullet"/>
        <w:spacing w:before="20" w:after="40"/>
      </w:pPr>
      <w:r>
        <w:t>5-minute TTL in-memory cache</w:t>
      </w:r>
    </w:p>
    <w:p w14:paraId="5E3A201E" w14:textId="77777777" w:rsidR="008A18DA" w:rsidRDefault="00000000">
      <w:pPr>
        <w:pStyle w:val="ListBullet"/>
        <w:spacing w:before="20" w:after="40"/>
      </w:pPr>
      <w:r>
        <w:t>Bulk fetch for multiple obligors</w:t>
      </w:r>
    </w:p>
    <w:p w14:paraId="76EF0F5D" w14:textId="77777777" w:rsidR="008A18DA" w:rsidRDefault="00000000">
      <w:pPr>
        <w:pStyle w:val="ListBullet"/>
        <w:spacing w:before="20" w:after="40"/>
      </w:pPr>
      <w:r>
        <w:t xml:space="preserve">Conversion to </w:t>
      </w:r>
      <w:r>
        <w:rPr>
          <w:rFonts w:ascii="Courier New" w:hAnsi="Courier New"/>
          <w:color w:val="C7254E"/>
          <w:sz w:val="18"/>
        </w:rPr>
        <w:t>CreditSpreadsData</w:t>
      </w:r>
      <w:r>
        <w:t xml:space="preserve"> for A-IRB engine</w:t>
      </w:r>
    </w:p>
    <w:p w14:paraId="4C2D5546" w14:textId="77777777" w:rsidR="008A18DA" w:rsidRDefault="00000000">
      <w:pPr>
        <w:spacing w:before="40" w:after="80"/>
      </w:pPr>
      <w:r>
        <w:rPr>
          <w:rFonts w:ascii="Courier New" w:hAnsi="Courier New"/>
        </w:rPr>
        <w:t>CVAMarketDataFeed</w:t>
      </w:r>
      <w:r>
        <w:t xml:space="preserve"> fetches SOFR, IG OAS, HY OAS, and VIX from FRED public API (no subscription required), with graceful fallback to hard-coded defaults if the network is unavailable.</w:t>
      </w:r>
    </w:p>
    <w:p w14:paraId="022D4D41" w14:textId="77777777" w:rsidR="008A18DA" w:rsidRDefault="008A18DA">
      <w:pPr>
        <w:pBdr>
          <w:bottom w:val="single" w:sz="6" w:space="1" w:color="9B111E"/>
        </w:pBdr>
      </w:pPr>
    </w:p>
    <w:p w14:paraId="1EF95C88" w14:textId="77777777" w:rsidR="008A18DA" w:rsidRDefault="00000000">
      <w:pPr>
        <w:pStyle w:val="Heading3"/>
      </w:pPr>
      <w:r>
        <w:t>8.8.3 Key Success Criteria</w:t>
      </w:r>
    </w:p>
    <w:p w14:paraId="5F5F7D70" w14:textId="77777777" w:rsidR="008A18DA" w:rsidRDefault="00000000">
      <w:pPr>
        <w:pStyle w:val="ListBullet"/>
        <w:spacing w:before="20" w:after="40"/>
      </w:pPr>
      <w:r>
        <w:t>Bloomberg and Refinitiv providers correctly fail gracefully when API is unavailable, falling to the next tier</w:t>
      </w:r>
    </w:p>
    <w:p w14:paraId="6D5C0CB9" w14:textId="77777777" w:rsidR="008A18DA" w:rsidRDefault="00000000">
      <w:pPr>
        <w:pStyle w:val="ListBullet"/>
        <w:spacing w:before="20" w:after="40"/>
      </w:pPr>
      <w:r>
        <w:rPr>
          <w:rFonts w:ascii="Courier New" w:hAnsi="Courier New"/>
          <w:color w:val="C7254E"/>
          <w:sz w:val="18"/>
        </w:rPr>
        <w:t>StaticTestProvider</w:t>
      </w:r>
      <w:r>
        <w:t xml:space="preserve"> returns deterministic test data for CI/CD pipeline</w:t>
      </w:r>
    </w:p>
    <w:p w14:paraId="7F6109A4" w14:textId="77777777" w:rsidR="008A18DA" w:rsidRDefault="00000000">
      <w:pPr>
        <w:pStyle w:val="ListBullet"/>
        <w:spacing w:before="20" w:after="40"/>
      </w:pPr>
      <w:r>
        <w:t>Cache hit rate reduces external API calls by &gt; 80% in normal daily operation</w:t>
      </w:r>
    </w:p>
    <w:p w14:paraId="48BBE31F" w14:textId="77777777" w:rsidR="008A18DA" w:rsidRDefault="00000000">
      <w:pPr>
        <w:pStyle w:val="ListBullet"/>
        <w:spacing w:before="20" w:after="40"/>
      </w:pPr>
      <w:r>
        <w:t>All engines receive valid (non-NaN, non-None) market data inputs or default gracefully</w:t>
      </w:r>
    </w:p>
    <w:p w14:paraId="6B04F08E" w14:textId="77777777" w:rsidR="008A18DA" w:rsidRDefault="008A18DA">
      <w:pPr>
        <w:pBdr>
          <w:bottom w:val="single" w:sz="6" w:space="1" w:color="9B111E"/>
        </w:pBdr>
      </w:pPr>
    </w:p>
    <w:p w14:paraId="378D5EB0" w14:textId="77777777" w:rsidR="008A18DA" w:rsidRDefault="00000000">
      <w:pPr>
        <w:pStyle w:val="Heading2"/>
      </w:pPr>
      <w:r>
        <w:t>FR-009: Backtesting Framework — Traffic-Light System</w:t>
      </w:r>
    </w:p>
    <w:p w14:paraId="45765D61" w14:textId="77777777" w:rsidR="008A18DA" w:rsidRDefault="00000000">
      <w:pPr>
        <w:spacing w:before="40" w:after="80"/>
      </w:pPr>
      <w:r>
        <w:rPr>
          <w:b/>
        </w:rPr>
        <w:t>Basel Standard:</w:t>
      </w:r>
      <w:r>
        <w:t xml:space="preserve"> MAR99</w:t>
      </w:r>
    </w:p>
    <w:p w14:paraId="68E92B1A" w14:textId="77777777" w:rsidR="008A18DA" w:rsidRDefault="00000000">
      <w:pPr>
        <w:spacing w:before="40" w:after="80"/>
      </w:pPr>
      <w:r>
        <w:rPr>
          <w:b/>
        </w:rPr>
        <w:t>Priority:</w:t>
      </w:r>
      <w:r>
        <w:t xml:space="preserve"> CRITICAL</w:t>
      </w:r>
    </w:p>
    <w:p w14:paraId="54276E9E" w14:textId="77777777" w:rsidR="008A18DA" w:rsidRDefault="00000000">
      <w:pPr>
        <w:spacing w:before="40" w:after="80"/>
      </w:pPr>
      <w:r>
        <w:rPr>
          <w:b/>
        </w:rPr>
        <w:t>Owner:</w:t>
      </w:r>
      <w:r>
        <w:t xml:space="preserve"> Market Risk / Model Validation</w:t>
      </w:r>
    </w:p>
    <w:p w14:paraId="07CB8C01" w14:textId="77777777" w:rsidR="008A18DA" w:rsidRDefault="00000000">
      <w:pPr>
        <w:spacing w:before="40" w:after="80"/>
      </w:pPr>
      <w:r>
        <w:rPr>
          <w:b/>
        </w:rPr>
        <w:t>File:</w:t>
      </w:r>
      <w:r>
        <w:t xml:space="preserve"> </w:t>
      </w:r>
      <w:r>
        <w:rPr>
          <w:rFonts w:ascii="Courier New" w:hAnsi="Courier New"/>
        </w:rPr>
        <w:t>backend/engines/frtb.py</w:t>
      </w:r>
      <w:r>
        <w:t xml:space="preserve"> (</w:t>
      </w:r>
      <w:r>
        <w:rPr>
          <w:rFonts w:ascii="Courier New" w:hAnsi="Courier New"/>
        </w:rPr>
        <w:t>BacktestEngine</w:t>
      </w:r>
      <w:r>
        <w:t>)</w:t>
      </w:r>
    </w:p>
    <w:p w14:paraId="26C6A55B" w14:textId="77777777" w:rsidR="008A18DA" w:rsidRDefault="008A18DA">
      <w:pPr>
        <w:pBdr>
          <w:bottom w:val="single" w:sz="6" w:space="1" w:color="9B111E"/>
        </w:pBdr>
      </w:pPr>
    </w:p>
    <w:p w14:paraId="2DC2673B" w14:textId="77777777" w:rsidR="008A18DA" w:rsidRDefault="00000000">
      <w:pPr>
        <w:pStyle w:val="Heading3"/>
      </w:pPr>
      <w:r>
        <w:t>8.9.1 Use Case</w:t>
      </w:r>
    </w:p>
    <w:p w14:paraId="15FF0DBD" w14:textId="77777777" w:rsidR="008A18DA" w:rsidRDefault="00000000">
      <w:pPr>
        <w:spacing w:before="40" w:after="80"/>
      </w:pPr>
      <w:r>
        <w:t>The backtesting framework validates the FRTB IMA's predictive accuracy by comparing the model's predicted risk measures (ES/VaR) against actual observed P&amp;L over a rolling 260-day window. Under MAR99, if the model consistently underestimates losses (produces too many exceptions), the regulator requires model revision or imposes a capital multiplier add-on.</w:t>
      </w:r>
    </w:p>
    <w:p w14:paraId="74BED430" w14:textId="77777777" w:rsidR="008A18DA" w:rsidRDefault="008A18DA">
      <w:pPr>
        <w:pBdr>
          <w:bottom w:val="single" w:sz="6" w:space="1" w:color="9B111E"/>
        </w:pBdr>
      </w:pPr>
    </w:p>
    <w:p w14:paraId="57DF2F0C" w14:textId="77777777" w:rsidR="008A18DA" w:rsidRDefault="00000000">
      <w:pPr>
        <w:pStyle w:val="Heading3"/>
      </w:pPr>
      <w:r>
        <w:t>8.9.2 Basel Context</w:t>
      </w:r>
    </w:p>
    <w:p w14:paraId="281CB1B5" w14:textId="77777777" w:rsidR="008A18DA" w:rsidRDefault="00000000">
      <w:pPr>
        <w:spacing w:before="40" w:after="80"/>
      </w:pPr>
      <w:r>
        <w:t xml:space="preserve">MAR99 defines a </w:t>
      </w:r>
      <w:r>
        <w:rPr>
          <w:b/>
        </w:rPr>
        <w:t>traffic-light system</w:t>
      </w:r>
      <w:r>
        <w:t xml:space="preserve"> for IMA backtesting:</w:t>
      </w:r>
    </w:p>
    <w:p w14:paraId="6FDA3821" w14:textId="77777777" w:rsidR="008A18DA" w:rsidRDefault="00000000">
      <w:pPr>
        <w:pStyle w:val="ListBullet"/>
        <w:spacing w:before="20" w:after="40"/>
      </w:pPr>
      <w:r>
        <w:rPr>
          <w:b/>
          <w:color w:val="1E2A3A"/>
        </w:rPr>
        <w:t>Green Zone</w:t>
      </w:r>
      <w:r>
        <w:t xml:space="preserve"> (0–4 exceptions in 250 days): Model acceptable; no additional capital</w:t>
      </w:r>
    </w:p>
    <w:p w14:paraId="21A83FDA" w14:textId="77777777" w:rsidR="008A18DA" w:rsidRDefault="00000000">
      <w:pPr>
        <w:pStyle w:val="ListBullet"/>
        <w:spacing w:before="20" w:after="40"/>
      </w:pPr>
      <w:r>
        <w:rPr>
          <w:b/>
          <w:color w:val="1E2A3A"/>
        </w:rPr>
        <w:t>Amber Zone</w:t>
      </w:r>
      <w:r>
        <w:t xml:space="preserve"> (5–9 exceptions): Enhanced monitoring; potential multiplier (plus add-on factor)</w:t>
      </w:r>
    </w:p>
    <w:p w14:paraId="4EA65D65" w14:textId="77777777" w:rsidR="008A18DA" w:rsidRDefault="00000000">
      <w:pPr>
        <w:pStyle w:val="ListBullet"/>
        <w:spacing w:before="20" w:after="40"/>
      </w:pPr>
      <w:r>
        <w:rPr>
          <w:b/>
          <w:color w:val="1E2A3A"/>
        </w:rPr>
        <w:t>Red Zone</w:t>
      </w:r>
      <w:r>
        <w:t xml:space="preserve"> (10+ exceptions): Model revision required; significant capital add-on</w:t>
      </w:r>
    </w:p>
    <w:p w14:paraId="5F59C54E" w14:textId="77777777" w:rsidR="008A18DA" w:rsidRDefault="00000000">
      <w:pPr>
        <w:spacing w:before="40" w:after="80"/>
      </w:pPr>
      <w:r>
        <w:t>An "exception" occurs when the actual daily P&amp;L loss exceeds the model's predicted 1-day VaR at 99% confidence.</w:t>
      </w:r>
    </w:p>
    <w:p w14:paraId="11F32478" w14:textId="77777777" w:rsidR="008A18DA" w:rsidRDefault="00000000">
      <w:pPr>
        <w:spacing w:before="40" w:after="80"/>
      </w:pPr>
      <w:r>
        <w:t xml:space="preserve">The </w:t>
      </w:r>
      <w:r>
        <w:rPr>
          <w:b/>
        </w:rPr>
        <w:t>PLA Test (MAR32)</w:t>
      </w:r>
      <w:r>
        <w:t xml:space="preserve"> compares Hypothetical P&amp;L (HPL, sensitivity-based) against Actual P&amp;L (APL, full revaluation) using Spearman rank correlation (ρ ≥ 0.50) and the Kolmogorov-Smirnov test (p-value ≥ 0.05). Desks failing PLA must use SBM.</w:t>
      </w:r>
    </w:p>
    <w:p w14:paraId="37CACEFC" w14:textId="77777777" w:rsidR="008A18DA" w:rsidRDefault="008A18DA">
      <w:pPr>
        <w:pBdr>
          <w:bottom w:val="single" w:sz="6" w:space="1" w:color="9B111E"/>
        </w:pBdr>
      </w:pPr>
    </w:p>
    <w:p w14:paraId="7A7366A5" w14:textId="77777777" w:rsidR="008A18DA" w:rsidRDefault="00000000">
      <w:pPr>
        <w:pStyle w:val="Heading3"/>
      </w:pPr>
      <w:r>
        <w:t>8.9.3 Functional Objective</w:t>
      </w:r>
    </w:p>
    <w:p w14:paraId="3835C49F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For each trading day d in [t-260, t]:</w:t>
      </w:r>
    </w:p>
    <w:p w14:paraId="01C4EB32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 exception(d) = 1 if |actual_pnl(d)| &gt; VaR_model(d) else 0</w:t>
      </w:r>
    </w:p>
    <w:p w14:paraId="7A7F920F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</w:t>
      </w:r>
    </w:p>
    <w:p w14:paraId="0B1352CC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n_exceptions = Σ exception(d)</w:t>
      </w:r>
    </w:p>
    <w:p w14:paraId="7F5C2490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</w:t>
      </w:r>
    </w:p>
    <w:p w14:paraId="0CF39AF5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if   n_exceptions ≤ 4: zone = "GREEN"</w:t>
      </w:r>
    </w:p>
    <w:p w14:paraId="788C5908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elif n_exceptions ≤ 9: zone = "AMBER"</w:t>
      </w:r>
    </w:p>
    <w:p w14:paraId="3B40724E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else:                  zone = "RED"</w:t>
      </w:r>
    </w:p>
    <w:p w14:paraId="326DF17B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</w:t>
      </w:r>
    </w:p>
    <w:p w14:paraId="3ED5B8AD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PLA Spearman:  ρ = spearmanr(HPL, APL)</w:t>
      </w:r>
    </w:p>
    <w:p w14:paraId="281A9925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PLA KS:        p_value = ks_2samp(HPL, APL).pvalue</w:t>
      </w:r>
    </w:p>
    <w:p w14:paraId="1F71E12F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pla_zone = "GREEN" if ρ ≥ 0.50 and p_value ≥ 0.05 else "AMBER/RED"</w:t>
      </w:r>
    </w:p>
    <w:p w14:paraId="6ED87926" w14:textId="77777777" w:rsidR="008A18DA" w:rsidRDefault="008A18DA">
      <w:pPr>
        <w:spacing w:after="80"/>
      </w:pPr>
    </w:p>
    <w:p w14:paraId="01ACA609" w14:textId="77777777" w:rsidR="008A18DA" w:rsidRDefault="008A18DA">
      <w:pPr>
        <w:pBdr>
          <w:bottom w:val="single" w:sz="6" w:space="1" w:color="9B111E"/>
        </w:pBdr>
      </w:pPr>
    </w:p>
    <w:p w14:paraId="576A6B14" w14:textId="77777777" w:rsidR="008A18DA" w:rsidRDefault="00000000">
      <w:pPr>
        <w:pStyle w:val="Heading3"/>
      </w:pPr>
      <w:r>
        <w:lastRenderedPageBreak/>
        <w:t>8.9.4 Key Success Criteria</w:t>
      </w:r>
    </w:p>
    <w:p w14:paraId="289AC6DF" w14:textId="77777777" w:rsidR="008A18DA" w:rsidRDefault="00000000">
      <w:pPr>
        <w:pStyle w:val="ListBullet"/>
        <w:spacing w:before="20" w:after="40"/>
      </w:pPr>
      <w:r>
        <w:t>Exception count correctly identifies the traffic-light zone</w:t>
      </w:r>
    </w:p>
    <w:p w14:paraId="54CC1301" w14:textId="77777777" w:rsidR="008A18DA" w:rsidRDefault="00000000">
      <w:pPr>
        <w:pStyle w:val="ListBullet"/>
        <w:spacing w:before="20" w:after="40"/>
      </w:pPr>
      <w:r>
        <w:t>Breach at Amber or Red triggers a WARNING log with alert details</w:t>
      </w:r>
    </w:p>
    <w:p w14:paraId="3401FDD5" w14:textId="77777777" w:rsidR="008A18DA" w:rsidRDefault="00000000">
      <w:pPr>
        <w:pStyle w:val="ListBullet"/>
        <w:spacing w:before="20" w:after="40"/>
      </w:pPr>
      <w:r>
        <w:t xml:space="preserve">Spearman ρ and KS p-value computed and returned in </w:t>
      </w:r>
      <w:r>
        <w:rPr>
          <w:rFonts w:ascii="Courier New" w:hAnsi="Courier New"/>
          <w:color w:val="C7254E"/>
          <w:sz w:val="18"/>
        </w:rPr>
        <w:t>FRTBResult.pla_zone</w:t>
      </w:r>
    </w:p>
    <w:p w14:paraId="4B73A081" w14:textId="77777777" w:rsidR="008A18DA" w:rsidRDefault="00000000">
      <w:pPr>
        <w:pStyle w:val="ListBullet"/>
        <w:spacing w:before="20" w:after="40"/>
      </w:pPr>
      <w:r>
        <w:t>Backtesting results surfaced on the Streamlit Backtesting page with historical exception timeline</w:t>
      </w:r>
    </w:p>
    <w:p w14:paraId="2DE163AF" w14:textId="77777777" w:rsidR="008A18DA" w:rsidRDefault="008A18DA">
      <w:pPr>
        <w:pBdr>
          <w:bottom w:val="single" w:sz="6" w:space="1" w:color="9B111E"/>
        </w:pBdr>
      </w:pPr>
    </w:p>
    <w:p w14:paraId="3AB9FCDA" w14:textId="77777777" w:rsidR="008A18DA" w:rsidRDefault="00000000">
      <w:pPr>
        <w:pStyle w:val="Heading2"/>
      </w:pPr>
      <w:r>
        <w:t>FR-010: Interactive Dashboard</w:t>
      </w:r>
    </w:p>
    <w:p w14:paraId="0C260D97" w14:textId="77777777" w:rsidR="008A18DA" w:rsidRDefault="00000000">
      <w:pPr>
        <w:spacing w:before="40" w:after="80"/>
      </w:pPr>
      <w:r>
        <w:rPr>
          <w:b/>
        </w:rPr>
        <w:t>Priority:</w:t>
      </w:r>
      <w:r>
        <w:t xml:space="preserve"> MEDIUM</w:t>
      </w:r>
    </w:p>
    <w:p w14:paraId="2AE41DE4" w14:textId="77777777" w:rsidR="008A18DA" w:rsidRDefault="00000000">
      <w:pPr>
        <w:spacing w:before="40" w:after="80"/>
      </w:pPr>
      <w:r>
        <w:rPr>
          <w:b/>
        </w:rPr>
        <w:t>Owner:</w:t>
      </w:r>
      <w:r>
        <w:t xml:space="preserve"> Risk Control / IT</w:t>
      </w:r>
    </w:p>
    <w:p w14:paraId="0C5B8AF9" w14:textId="77777777" w:rsidR="008A18DA" w:rsidRDefault="00000000">
      <w:pPr>
        <w:spacing w:before="40" w:after="80"/>
      </w:pPr>
      <w:r>
        <w:rPr>
          <w:b/>
        </w:rPr>
        <w:t>File:</w:t>
      </w:r>
      <w:r>
        <w:t xml:space="preserve"> </w:t>
      </w:r>
      <w:r>
        <w:rPr>
          <w:rFonts w:ascii="Courier New" w:hAnsi="Courier New"/>
        </w:rPr>
        <w:t>dashboard/app.py</w:t>
      </w:r>
      <w:r>
        <w:t xml:space="preserve"> (844 lines)</w:t>
      </w:r>
    </w:p>
    <w:p w14:paraId="2EEF2F73" w14:textId="77777777" w:rsidR="008A18DA" w:rsidRDefault="008A18DA">
      <w:pPr>
        <w:pBdr>
          <w:bottom w:val="single" w:sz="6" w:space="1" w:color="9B111E"/>
        </w:pBdr>
      </w:pPr>
    </w:p>
    <w:p w14:paraId="28FC2313" w14:textId="77777777" w:rsidR="008A18DA" w:rsidRDefault="00000000">
      <w:pPr>
        <w:pStyle w:val="Heading3"/>
      </w:pPr>
      <w:r>
        <w:t>8.10.1 Use Case</w:t>
      </w:r>
    </w:p>
    <w:p w14:paraId="6BDA50A3" w14:textId="77777777" w:rsidR="008A18DA" w:rsidRDefault="00000000">
      <w:pPr>
        <w:spacing w:before="40" w:after="80"/>
      </w:pPr>
      <w:r>
        <w:t xml:space="preserve">The Streamlit dashboard provides a </w:t>
      </w:r>
      <w:r>
        <w:rPr>
          <w:b/>
        </w:rPr>
        <w:t>zero-code interface</w:t>
      </w:r>
      <w:r>
        <w:t xml:space="preserve"> for risk officers, treasury managers, and regulators to view capital results, explore exposure breakdowns, analyse backtesting performance, run stress scenarios, and export regulatory reports — all in a browser.</w:t>
      </w:r>
    </w:p>
    <w:p w14:paraId="31547B05" w14:textId="77777777" w:rsidR="008A18DA" w:rsidRDefault="008A18DA">
      <w:pPr>
        <w:pBdr>
          <w:bottom w:val="single" w:sz="6" w:space="1" w:color="9B111E"/>
        </w:pBdr>
      </w:pPr>
    </w:p>
    <w:p w14:paraId="110047C2" w14:textId="77777777" w:rsidR="008A18DA" w:rsidRDefault="00000000">
      <w:pPr>
        <w:pStyle w:val="Heading3"/>
      </w:pPr>
      <w:r>
        <w:t>8.10.2 Dashboard Pages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A18DA" w14:paraId="78411F6C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1E2A3A"/>
            <w:vAlign w:val="center"/>
          </w:tcPr>
          <w:p w14:paraId="52CDA841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FFFFFF"/>
                <w:sz w:val="19"/>
              </w:rPr>
              <w:t>Page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1E2A3A"/>
            <w:vAlign w:val="center"/>
          </w:tcPr>
          <w:p w14:paraId="36BCAA18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FFFFFF"/>
                <w:sz w:val="19"/>
              </w:rPr>
              <w:t>Content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1E2A3A"/>
            <w:vAlign w:val="center"/>
          </w:tcPr>
          <w:p w14:paraId="7ED62472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FFFFFF"/>
                <w:sz w:val="19"/>
              </w:rPr>
              <w:t>Primary User</w:t>
            </w:r>
          </w:p>
        </w:tc>
      </w:tr>
      <w:tr w:rsidR="008A18DA" w14:paraId="44290A79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755F75BB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Overview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6A347EBE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Five-part RWA summary, capital ratio, output floor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7AEF29F1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CRO, Head of Treasury</w:t>
            </w:r>
          </w:p>
        </w:tc>
      </w:tr>
      <w:tr w:rsidR="008A18DA" w14:paraId="4141DC45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75838A76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Derivative Risk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5263CE26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SA-CCR and IMM by portfolio, FRTB capital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59E85641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Head of Market Risk</w:t>
            </w:r>
          </w:p>
        </w:tc>
      </w:tr>
      <w:tr w:rsidR="008A18DA" w14:paraId="07A1CCFC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16AC290C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Banking Book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65AF6D00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A-IRB RWA, PD/LGD distribution, EL shortfall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15F58952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Head of Credit Risk</w:t>
            </w:r>
          </w:p>
        </w:tc>
      </w:tr>
      <w:tr w:rsidR="008A18DA" w14:paraId="6EE591FA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654189E1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Backtesting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1E536EA2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Traffic-light status, exception timeline, PLA test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01C7F3EE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Market Risk / Model Validation</w:t>
            </w:r>
          </w:p>
        </w:tc>
      </w:tr>
      <w:tr w:rsidR="008A18DA" w14:paraId="56AB8A95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781E1D94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Capital Planning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3661ADFA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Stress scenario what-if, RWA forecasts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5C5C295C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Head of Treasury</w:t>
            </w:r>
          </w:p>
        </w:tc>
      </w:tr>
      <w:tr w:rsidR="008A18DA" w14:paraId="258B96D6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0DF06002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Reports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599FD317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Downloadable xlsx/csv regulatory templates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6371F331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Regulatory Affairs</w:t>
            </w:r>
          </w:p>
        </w:tc>
      </w:tr>
      <w:tr w:rsidR="008A18DA" w14:paraId="1A6ED24C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77266921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Settings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179C0B94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Configuration management, data source selection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5874F884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IT Infrastructure</w:t>
            </w:r>
          </w:p>
        </w:tc>
      </w:tr>
      <w:tr w:rsidR="008A18DA" w14:paraId="5FCDC417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28866821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Documentation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47558E82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Embedded regulatory references (Basel standards)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3848E6DF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All</w:t>
            </w:r>
          </w:p>
        </w:tc>
      </w:tr>
    </w:tbl>
    <w:p w14:paraId="73E88057" w14:textId="77777777" w:rsidR="008A18DA" w:rsidRDefault="008A18DA"/>
    <w:p w14:paraId="39908F94" w14:textId="77777777" w:rsidR="008A18DA" w:rsidRDefault="008A18DA">
      <w:pPr>
        <w:pBdr>
          <w:bottom w:val="single" w:sz="6" w:space="1" w:color="9B111E"/>
        </w:pBdr>
      </w:pPr>
    </w:p>
    <w:p w14:paraId="79E0F1E9" w14:textId="77777777" w:rsidR="008A18DA" w:rsidRDefault="00000000">
      <w:pPr>
        <w:pStyle w:val="Heading3"/>
      </w:pPr>
      <w:r>
        <w:t>8.10.3 Key Success Criteria</w:t>
      </w:r>
    </w:p>
    <w:p w14:paraId="45AD6CFB" w14:textId="77777777" w:rsidR="008A18DA" w:rsidRDefault="00000000">
      <w:pPr>
        <w:pStyle w:val="ListBullet"/>
        <w:spacing w:before="20" w:after="40"/>
      </w:pPr>
      <w:r>
        <w:t>All 8 pages render without error in Streamlit 1.28+</w:t>
      </w:r>
    </w:p>
    <w:p w14:paraId="293AC442" w14:textId="77777777" w:rsidR="008A18DA" w:rsidRDefault="00000000">
      <w:pPr>
        <w:pStyle w:val="ListBullet"/>
        <w:spacing w:before="20" w:after="40"/>
      </w:pPr>
      <w:r>
        <w:t>Excel and CSV exports contain complete, correctly formatted data</w:t>
      </w:r>
    </w:p>
    <w:p w14:paraId="4E87E11B" w14:textId="77777777" w:rsidR="008A18DA" w:rsidRDefault="00000000">
      <w:pPr>
        <w:pStyle w:val="ListBullet"/>
        <w:spacing w:before="20" w:after="40"/>
      </w:pPr>
      <w:r>
        <w:t>Dashboard refresh &lt; 3 seconds on M1 MacBook Air</w:t>
      </w:r>
    </w:p>
    <w:p w14:paraId="4DD3AD70" w14:textId="77777777" w:rsidR="008A18DA" w:rsidRDefault="00000000">
      <w:pPr>
        <w:pStyle w:val="ListBullet"/>
        <w:spacing w:before="20" w:after="40"/>
      </w:pPr>
      <w:r>
        <w:lastRenderedPageBreak/>
        <w:t>Data persists correctly across browser refresh via PostgreSQL backend</w:t>
      </w:r>
    </w:p>
    <w:p w14:paraId="4CB1795A" w14:textId="77777777" w:rsidR="008A18DA" w:rsidRDefault="008A18DA">
      <w:pPr>
        <w:pBdr>
          <w:bottom w:val="single" w:sz="6" w:space="1" w:color="9B111E"/>
        </w:pBdr>
      </w:pPr>
    </w:p>
    <w:p w14:paraId="4F895F77" w14:textId="77777777" w:rsidR="008A18DA" w:rsidRDefault="00000000">
      <w:pPr>
        <w:pStyle w:val="Heading2"/>
      </w:pPr>
      <w:r>
        <w:t>FR-011: Audit Trail and Compliance Reporting</w:t>
      </w:r>
    </w:p>
    <w:p w14:paraId="6420360A" w14:textId="77777777" w:rsidR="008A18DA" w:rsidRDefault="00000000">
      <w:pPr>
        <w:spacing w:before="40" w:after="80"/>
      </w:pPr>
      <w:r>
        <w:rPr>
          <w:b/>
        </w:rPr>
        <w:t>Priority:</w:t>
      </w:r>
      <w:r>
        <w:t xml:space="preserve"> CRITICAL</w:t>
      </w:r>
    </w:p>
    <w:p w14:paraId="42C6075B" w14:textId="77777777" w:rsidR="008A18DA" w:rsidRDefault="00000000">
      <w:pPr>
        <w:spacing w:before="40" w:after="80"/>
      </w:pPr>
      <w:r>
        <w:rPr>
          <w:b/>
        </w:rPr>
        <w:t>Owner:</w:t>
      </w:r>
      <w:r>
        <w:t xml:space="preserve"> Compliance / Regulatory Affairs</w:t>
      </w:r>
    </w:p>
    <w:p w14:paraId="42151336" w14:textId="77777777" w:rsidR="008A18DA" w:rsidRDefault="00000000">
      <w:pPr>
        <w:spacing w:before="40" w:after="80"/>
      </w:pPr>
      <w:r>
        <w:rPr>
          <w:b/>
        </w:rPr>
        <w:t>Files:</w:t>
      </w:r>
      <w:r>
        <w:t xml:space="preserve"> </w:t>
      </w:r>
      <w:r>
        <w:rPr>
          <w:rFonts w:ascii="Courier New" w:hAnsi="Courier New"/>
        </w:rPr>
        <w:t>backend/data_sources/persistence.py</w:t>
      </w:r>
      <w:r>
        <w:t xml:space="preserve">, PostgreSQL </w:t>
      </w:r>
      <w:r>
        <w:rPr>
          <w:rFonts w:ascii="Courier New" w:hAnsi="Courier New"/>
        </w:rPr>
        <w:t>audit</w:t>
      </w:r>
      <w:r>
        <w:t xml:space="preserve"> schema</w:t>
      </w:r>
    </w:p>
    <w:p w14:paraId="3D8EE0B3" w14:textId="77777777" w:rsidR="008A18DA" w:rsidRDefault="008A18DA">
      <w:pPr>
        <w:pBdr>
          <w:bottom w:val="single" w:sz="6" w:space="1" w:color="9B111E"/>
        </w:pBdr>
      </w:pPr>
    </w:p>
    <w:p w14:paraId="2D4F03F4" w14:textId="77777777" w:rsidR="008A18DA" w:rsidRDefault="00000000">
      <w:pPr>
        <w:pStyle w:val="Heading3"/>
      </w:pPr>
      <w:r>
        <w:t>8.11.1 Use Case</w:t>
      </w:r>
    </w:p>
    <w:p w14:paraId="4B5761B6" w14:textId="77777777" w:rsidR="008A18DA" w:rsidRDefault="00000000">
      <w:pPr>
        <w:spacing w:before="40" w:after="80"/>
      </w:pPr>
      <w:r>
        <w:t>Regulators (central banks, prudential supervisors) and external auditors require complete, immutable records of all capital calculations, methodology choices, and override events. Without a rigorous audit trail, the institution cannot defend its capital ratios under supervisory examination, and may face model approval revocation.</w:t>
      </w:r>
    </w:p>
    <w:p w14:paraId="724C5430" w14:textId="77777777" w:rsidR="008A18DA" w:rsidRDefault="008A18DA">
      <w:pPr>
        <w:pBdr>
          <w:bottom w:val="single" w:sz="6" w:space="1" w:color="9B111E"/>
        </w:pBdr>
      </w:pPr>
    </w:p>
    <w:p w14:paraId="7546A3CE" w14:textId="77777777" w:rsidR="008A18DA" w:rsidRDefault="00000000">
      <w:pPr>
        <w:pStyle w:val="Heading3"/>
      </w:pPr>
      <w:r>
        <w:t>8.11.2 Functional Objective</w:t>
      </w:r>
    </w:p>
    <w:p w14:paraId="3207051B" w14:textId="77777777" w:rsidR="008A18DA" w:rsidRDefault="00000000">
      <w:pPr>
        <w:spacing w:before="40" w:after="80"/>
      </w:pPr>
      <w:r>
        <w:t xml:space="preserve">Every calculation event is logged to the PostgreSQL </w:t>
      </w:r>
      <w:r>
        <w:rPr>
          <w:rFonts w:ascii="Courier New" w:hAnsi="Courier New"/>
        </w:rPr>
        <w:t>audit</w:t>
      </w:r>
      <w:r>
        <w:t xml:space="preserve"> schema with:</w:t>
      </w:r>
    </w:p>
    <w:p w14:paraId="525BAC9B" w14:textId="77777777" w:rsidR="008A18DA" w:rsidRDefault="00000000">
      <w:pPr>
        <w:pStyle w:val="ListBullet"/>
        <w:spacing w:before="20" w:after="40"/>
      </w:pPr>
      <w:r>
        <w:rPr>
          <w:rFonts w:ascii="Courier New" w:hAnsi="Courier New"/>
          <w:color w:val="C7254E"/>
          <w:sz w:val="18"/>
        </w:rPr>
        <w:t>audit.run_logs</w:t>
      </w:r>
      <w:r>
        <w:t>: Run date, start/end time, duration, status, engine versions</w:t>
      </w:r>
    </w:p>
    <w:p w14:paraId="21F9A14F" w14:textId="77777777" w:rsidR="008A18DA" w:rsidRDefault="00000000">
      <w:pPr>
        <w:pStyle w:val="ListBullet"/>
        <w:spacing w:before="20" w:after="40"/>
      </w:pPr>
      <w:r>
        <w:rPr>
          <w:rFonts w:ascii="Courier New" w:hAnsi="Courier New"/>
          <w:color w:val="C7254E"/>
          <w:sz w:val="18"/>
        </w:rPr>
        <w:t>audit.calculation_traces</w:t>
      </w:r>
      <w:r>
        <w:t>: Trade-level trace of formula, inputs, and output for each engine</w:t>
      </w:r>
    </w:p>
    <w:p w14:paraId="00AE15DD" w14:textId="77777777" w:rsidR="008A18DA" w:rsidRDefault="00000000">
      <w:pPr>
        <w:pStyle w:val="ListBullet"/>
        <w:spacing w:before="20" w:after="40"/>
      </w:pPr>
      <w:r>
        <w:rPr>
          <w:rFonts w:ascii="Courier New" w:hAnsi="Courier New"/>
          <w:color w:val="C7254E"/>
          <w:sz w:val="18"/>
        </w:rPr>
        <w:t>audit.breach_alerts</w:t>
      </w:r>
      <w:r>
        <w:t>: Timestamps and values for all risk limit breaches and regulatory floor applications</w:t>
      </w:r>
    </w:p>
    <w:p w14:paraId="318981AC" w14:textId="77777777" w:rsidR="008A18DA" w:rsidRDefault="00000000">
      <w:pPr>
        <w:pStyle w:val="ListBullet"/>
        <w:spacing w:before="20" w:after="40"/>
      </w:pPr>
      <w:r>
        <w:rPr>
          <w:rFonts w:ascii="Courier New" w:hAnsi="Courier New"/>
          <w:color w:val="C7254E"/>
          <w:sz w:val="18"/>
        </w:rPr>
        <w:t>audit.user_actions</w:t>
      </w:r>
      <w:r>
        <w:t>: User identity, action type (run trigger, config change, export), and timestamp</w:t>
      </w:r>
    </w:p>
    <w:p w14:paraId="03407AC8" w14:textId="77777777" w:rsidR="008A18DA" w:rsidRDefault="00000000">
      <w:pPr>
        <w:spacing w:before="40" w:after="80"/>
      </w:pPr>
      <w:r>
        <w:t xml:space="preserve">Fallback trace codes follow the format: </w:t>
      </w:r>
      <w:r>
        <w:rPr>
          <w:rFonts w:ascii="Courier New" w:hAnsi="Courier New"/>
        </w:rPr>
        <w:t>FALLBACK|&lt;trade_id&gt;|&lt;reason_code&gt;|&lt;description&gt;</w:t>
      </w:r>
    </w:p>
    <w:p w14:paraId="5BB2FAB9" w14:textId="77777777" w:rsidR="008A18DA" w:rsidRDefault="00000000">
      <w:pPr>
        <w:spacing w:before="40" w:after="80"/>
      </w:pPr>
      <w:r>
        <w:t>Example traces:</w:t>
      </w:r>
    </w:p>
    <w:p w14:paraId="7C4965E8" w14:textId="77777777" w:rsidR="008A18DA" w:rsidRDefault="00000000">
      <w:pPr>
        <w:pStyle w:val="ListBullet"/>
        <w:spacing w:before="20" w:after="40"/>
      </w:pPr>
      <w:r>
        <w:rPr>
          <w:rFonts w:ascii="Courier New" w:hAnsi="Courier New"/>
          <w:color w:val="C7254E"/>
          <w:sz w:val="18"/>
        </w:rPr>
        <w:t>FALLBACK|TRD-001|REGULATORY_FLOOR|IMM EAD below 50% SA-CCR floor — CRE53.5</w:t>
      </w:r>
    </w:p>
    <w:p w14:paraId="26D77483" w14:textId="77777777" w:rsidR="008A18DA" w:rsidRDefault="00000000">
      <w:pPr>
        <w:pStyle w:val="ListBullet"/>
        <w:spacing w:before="20" w:after="40"/>
      </w:pPr>
      <w:r>
        <w:rPr>
          <w:rFonts w:ascii="Courier New" w:hAnsi="Courier New"/>
          <w:color w:val="C7254E"/>
          <w:sz w:val="18"/>
        </w:rPr>
        <w:t>FALLBACK|CVA|SA-CVA_NOT_APPROVED|Using BA-CVA per MAR50.12</w:t>
      </w:r>
    </w:p>
    <w:p w14:paraId="329D8967" w14:textId="77777777" w:rsidR="008A18DA" w:rsidRDefault="00000000">
      <w:pPr>
        <w:pStyle w:val="ListBullet"/>
        <w:spacing w:before="20" w:after="40"/>
      </w:pPr>
      <w:r>
        <w:rPr>
          <w:rFonts w:ascii="Courier New" w:hAnsi="Courier New"/>
          <w:color w:val="C7254E"/>
          <w:sz w:val="18"/>
        </w:rPr>
        <w:t>FALLBACK|TRD-007|EXOTIC_PAYOFF|Exotic payoff structure — IMM not approved for this type</w:t>
      </w:r>
    </w:p>
    <w:p w14:paraId="60ACF6A7" w14:textId="77777777" w:rsidR="008A18DA" w:rsidRDefault="008A18DA">
      <w:pPr>
        <w:pBdr>
          <w:bottom w:val="single" w:sz="6" w:space="1" w:color="9B111E"/>
        </w:pBdr>
      </w:pPr>
    </w:p>
    <w:p w14:paraId="667F5462" w14:textId="77777777" w:rsidR="008A18DA" w:rsidRDefault="00000000">
      <w:pPr>
        <w:pStyle w:val="Heading3"/>
      </w:pPr>
      <w:r>
        <w:t>8.11.3 Key Success Criteria</w:t>
      </w:r>
    </w:p>
    <w:p w14:paraId="3DD52D23" w14:textId="77777777" w:rsidR="008A18DA" w:rsidRDefault="00000000">
      <w:pPr>
        <w:pStyle w:val="ListBullet"/>
        <w:spacing w:before="20" w:after="40"/>
      </w:pPr>
      <w:r>
        <w:t>Zero calculations executed without a corresponding INFO-level log</w:t>
      </w:r>
    </w:p>
    <w:p w14:paraId="36316305" w14:textId="77777777" w:rsidR="008A18DA" w:rsidRDefault="00000000">
      <w:pPr>
        <w:pStyle w:val="ListBullet"/>
        <w:spacing w:before="20" w:after="40"/>
      </w:pPr>
      <w:r>
        <w:t>All floor applications and fallback events logged at WARNING level</w:t>
      </w:r>
    </w:p>
    <w:p w14:paraId="1FB07F59" w14:textId="77777777" w:rsidR="008A18DA" w:rsidRDefault="00000000">
      <w:pPr>
        <w:pStyle w:val="ListBullet"/>
        <w:spacing w:before="20" w:after="40"/>
      </w:pPr>
      <w:r>
        <w:t>Audit schema tables are append-only (no updates or deletes in production)</w:t>
      </w:r>
    </w:p>
    <w:p w14:paraId="51124C94" w14:textId="77777777" w:rsidR="008A18DA" w:rsidRDefault="00000000">
      <w:pPr>
        <w:pStyle w:val="ListBullet"/>
        <w:spacing w:before="20" w:after="40"/>
      </w:pPr>
      <w:r>
        <w:t>Export templates satisfy Basel Pillar 3 Table 4 (Credit Risk) and Table 12 (Market Risk) disclosure formats</w:t>
      </w:r>
    </w:p>
    <w:p w14:paraId="46109C09" w14:textId="77777777" w:rsidR="008A18DA" w:rsidRDefault="008A18DA">
      <w:pPr>
        <w:pBdr>
          <w:bottom w:val="single" w:sz="6" w:space="1" w:color="9B111E"/>
        </w:pBdr>
      </w:pPr>
    </w:p>
    <w:p w14:paraId="063EF00C" w14:textId="77777777" w:rsidR="008A18DA" w:rsidRDefault="008A18DA">
      <w:pPr>
        <w:pBdr>
          <w:bottom w:val="single" w:sz="6" w:space="1" w:color="9B111E"/>
        </w:pBdr>
      </w:pPr>
    </w:p>
    <w:p w14:paraId="378BA99E" w14:textId="77777777" w:rsidR="008A18DA" w:rsidRDefault="00000000">
      <w:pPr>
        <w:pStyle w:val="Heading1"/>
      </w:pPr>
      <w:r>
        <w:lastRenderedPageBreak/>
        <w:t>9. BUSINESS AND FUNCTIONAL WORKFLOW</w:t>
      </w:r>
    </w:p>
    <w:p w14:paraId="03F6E127" w14:textId="77777777" w:rsidR="008A18DA" w:rsidRDefault="008A18DA">
      <w:pPr>
        <w:pBdr>
          <w:bottom w:val="single" w:sz="6" w:space="1" w:color="9B111E"/>
        </w:pBdr>
      </w:pPr>
    </w:p>
    <w:p w14:paraId="312844F9" w14:textId="77777777" w:rsidR="008A18DA" w:rsidRDefault="00000000">
      <w:pPr>
        <w:pStyle w:val="Heading2"/>
      </w:pPr>
      <w:r>
        <w:t>9.1 Business Workflow — Daily Capital Cycle</w:t>
      </w:r>
    </w:p>
    <w:p w14:paraId="70EAD9F3" w14:textId="77777777" w:rsidR="008A18DA" w:rsidRDefault="00000000">
      <w:pPr>
        <w:spacing w:before="40" w:after="80"/>
      </w:pPr>
      <w:r>
        <w:t>The daily capital calculation cycle follows a standardised risk operations workflow aligned with industry practice for regulated institutions:</w:t>
      </w:r>
    </w:p>
    <w:p w14:paraId="7CB822C7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3F1B34E3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│                     PROMETHEUS DAILY CAPITAL CYCLE                      │</w:t>
      </w:r>
    </w:p>
    <w:p w14:paraId="11C8C767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5E967336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</w:t>
      </w:r>
    </w:p>
    <w:p w14:paraId="4CCED2AE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T-1 Day                T Day (06:00–08:00)          T Day (08:00+)</w:t>
      </w:r>
    </w:p>
    <w:p w14:paraId="357544EA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──────────────────────────────────────────────────────────────────────────</w:t>
      </w:r>
    </w:p>
    <w:p w14:paraId="6EE18777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┌──────────────┐       ┌──────────────────────┐     ┌──────────────────┐</w:t>
      </w:r>
    </w:p>
    <w:p w14:paraId="5D16E4DA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│ Trade Booking│──────►│ Market Data Refresh   │────►│ CRO Dashboard    │</w:t>
      </w:r>
    </w:p>
    <w:p w14:paraId="52566C5D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│ (OMS/TMS)    │       │ (Bloomberg / FRED)    │     │ Review           │</w:t>
      </w:r>
    </w:p>
    <w:p w14:paraId="58881E93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└──────────────┘       └──────────┬───────────┘     └──────────────────┘</w:t>
      </w:r>
    </w:p>
    <w:p w14:paraId="7909D1BA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                                  │</w:t>
      </w:r>
    </w:p>
    <w:p w14:paraId="08BFD518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┌──────────────┐                  ▼</w:t>
      </w:r>
    </w:p>
    <w:p w14:paraId="425EAB3F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│ Collateral   │       ┌──────────────────────┐     ┌──────────────────┐</w:t>
      </w:r>
    </w:p>
    <w:p w14:paraId="44DC6C33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│ Management   │──────►│ Portfolio Load        │────►│ Risk Limit       │</w:t>
      </w:r>
    </w:p>
    <w:p w14:paraId="572FB1F9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│ (CSA Terms)  │       │ (portfolio_generator) │     │ Monitoring       │</w:t>
      </w:r>
    </w:p>
    <w:p w14:paraId="5BCB884E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└──────────────┘       └──────────┬───────────┘     └──────────────────┘</w:t>
      </w:r>
    </w:p>
    <w:p w14:paraId="2A38F2ED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                                  │</w:t>
      </w:r>
    </w:p>
    <w:p w14:paraId="65CC38B9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┌──────────────┐                  ▼</w:t>
      </w:r>
    </w:p>
    <w:p w14:paraId="66A90E1C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│ Credit       │       ┌──────────────────────┐     ┌──────────────────┐</w:t>
      </w:r>
    </w:p>
    <w:p w14:paraId="7E8F4081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│ Systems      │──────►│ PROMETHEUS Risk Run   │────►│ Regulatory       │</w:t>
      </w:r>
    </w:p>
    <w:p w14:paraId="58AA8A20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│ (PD/LGD/EAD) │       │ (PrometheusRunner)    │     │ Reporting        │</w:t>
      </w:r>
    </w:p>
    <w:p w14:paraId="2181D1CE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└──────────────┘       └──────────┬───────────┘     │ (Pillar 1/3)     │</w:t>
      </w:r>
    </w:p>
    <w:p w14:paraId="0C5AA00F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                                  │                  └──────────────────┘</w:t>
      </w:r>
    </w:p>
    <w:p w14:paraId="0BBB1939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                                  ▼</w:t>
      </w:r>
    </w:p>
    <w:p w14:paraId="23C354E8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                       ┌──────────────────────┐     ┌──────────────────┐</w:t>
      </w:r>
    </w:p>
    <w:p w14:paraId="179D20C6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                       │ Results Persistence   │────►│ Audit Archive    │</w:t>
      </w:r>
    </w:p>
    <w:p w14:paraId="01FF1344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                       │ (PostgreSQL)          │     │ (audit schema)   │</w:t>
      </w:r>
    </w:p>
    <w:p w14:paraId="3192C82F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                       └──────────────────────┘     └──────────────────┘</w:t>
      </w:r>
    </w:p>
    <w:p w14:paraId="67167A8E" w14:textId="77777777" w:rsidR="008A18DA" w:rsidRDefault="008A18DA">
      <w:pPr>
        <w:spacing w:after="80"/>
      </w:pPr>
    </w:p>
    <w:p w14:paraId="6468955E" w14:textId="77777777" w:rsidR="008A18DA" w:rsidRDefault="00000000">
      <w:pPr>
        <w:spacing w:before="40" w:after="80"/>
      </w:pPr>
      <w:r>
        <w:rPr>
          <w:b/>
        </w:rPr>
        <w:t>Step-by-step business process:</w:t>
      </w:r>
    </w:p>
    <w:p w14:paraId="1B3713B0" w14:textId="77777777" w:rsidR="008A18DA" w:rsidRDefault="00000000">
      <w:pPr>
        <w:pStyle w:val="ListNumber"/>
        <w:spacing w:before="20" w:after="40"/>
      </w:pPr>
      <w:r>
        <w:rPr>
          <w:b/>
          <w:color w:val="1E2A3A"/>
        </w:rPr>
        <w:t>Trade capture (T-1):</w:t>
      </w:r>
      <w:r>
        <w:t xml:space="preserve"> All trades booked in front-office systems by end-of-day cutoff are available in the risk database.</w:t>
      </w:r>
    </w:p>
    <w:p w14:paraId="2AFB06EE" w14:textId="77777777" w:rsidR="008A18DA" w:rsidRDefault="00000000">
      <w:pPr>
        <w:pStyle w:val="ListNumber"/>
        <w:spacing w:before="20" w:after="40"/>
      </w:pPr>
      <w:r>
        <w:rPr>
          <w:b/>
          <w:color w:val="1E2A3A"/>
        </w:rPr>
        <w:t>Collateral reconciliation (T-1 to T):</w:t>
      </w:r>
      <w:r>
        <w:t xml:space="preserve"> CSA terms, initial margin, and variation margin are reconciled with counterparties and loaded into netting set definitions.</w:t>
      </w:r>
    </w:p>
    <w:p w14:paraId="7B459094" w14:textId="77777777" w:rsidR="008A18DA" w:rsidRDefault="00000000">
      <w:pPr>
        <w:pStyle w:val="ListNumber"/>
        <w:spacing w:before="20" w:after="40"/>
      </w:pPr>
      <w:r>
        <w:rPr>
          <w:b/>
          <w:color w:val="1E2A3A"/>
        </w:rPr>
        <w:t>Market data refresh (T 06:00):</w:t>
      </w:r>
      <w:r>
        <w:t xml:space="preserve"> Bloomberg / Refinitiv / FRED API calls populate yield curves, CDS spreads, volatility surfaces, and macro indicators for the calculation date.</w:t>
      </w:r>
    </w:p>
    <w:p w14:paraId="36C87FD8" w14:textId="77777777" w:rsidR="008A18DA" w:rsidRDefault="00000000">
      <w:pPr>
        <w:pStyle w:val="ListNumber"/>
        <w:spacing w:before="20" w:after="40"/>
      </w:pPr>
      <w:r>
        <w:rPr>
          <w:b/>
          <w:color w:val="1E2A3A"/>
        </w:rPr>
        <w:t>Portfolio load (T 06:30):</w:t>
      </w:r>
      <w:r>
        <w:t xml:space="preserve"> </w:t>
      </w:r>
      <w:r>
        <w:rPr>
          <w:rFonts w:ascii="Courier New" w:hAnsi="Courier New"/>
          <w:color w:val="C7254E"/>
        </w:rPr>
        <w:t>portfolio_generator.build_full_dataset()</w:t>
      </w:r>
      <w:r>
        <w:t xml:space="preserve"> constructs the complete dataset of derivative and banking book portfolios.</w:t>
      </w:r>
    </w:p>
    <w:p w14:paraId="44DD4188" w14:textId="77777777" w:rsidR="008A18DA" w:rsidRDefault="00000000">
      <w:pPr>
        <w:pStyle w:val="ListNumber"/>
        <w:spacing w:before="20" w:after="40"/>
      </w:pPr>
      <w:r>
        <w:rPr>
          <w:b/>
          <w:color w:val="1E2A3A"/>
        </w:rPr>
        <w:t>Risk run trigger (T 06:45):</w:t>
      </w:r>
      <w:r>
        <w:t xml:space="preserve"> </w:t>
      </w:r>
      <w:r>
        <w:rPr>
          <w:rFonts w:ascii="Courier New" w:hAnsi="Courier New"/>
          <w:color w:val="C7254E"/>
        </w:rPr>
        <w:t>PrometheusRunner.run_daily()</w:t>
      </w:r>
      <w:r>
        <w:t xml:space="preserve"> is invoked (manually via </w:t>
      </w:r>
      <w:r>
        <w:rPr>
          <w:rFonts w:ascii="Courier New" w:hAnsi="Courier New"/>
          <w:color w:val="C7254E"/>
        </w:rPr>
        <w:t>run_engine.sh</w:t>
      </w:r>
      <w:r>
        <w:t xml:space="preserve"> or automated via scheduler).</w:t>
      </w:r>
    </w:p>
    <w:p w14:paraId="7727E3DB" w14:textId="77777777" w:rsidR="008A18DA" w:rsidRDefault="00000000">
      <w:pPr>
        <w:pStyle w:val="ListNumber"/>
        <w:spacing w:before="20" w:after="40"/>
      </w:pPr>
      <w:r>
        <w:rPr>
          <w:b/>
          <w:color w:val="1E2A3A"/>
        </w:rPr>
        <w:t>Calculation execution (~2 minutes):</w:t>
      </w:r>
      <w:r>
        <w:t xml:space="preserve"> All six engines execute sequentially; SA-CCR → IMM → A-IRB → FRTB → CVA → CCP → Five-part formula → Output floor.</w:t>
      </w:r>
    </w:p>
    <w:p w14:paraId="505D4683" w14:textId="77777777" w:rsidR="008A18DA" w:rsidRDefault="00000000">
      <w:pPr>
        <w:pStyle w:val="ListNumber"/>
        <w:spacing w:before="20" w:after="40"/>
      </w:pPr>
      <w:r>
        <w:rPr>
          <w:b/>
          <w:color w:val="1E2A3A"/>
        </w:rPr>
        <w:t>Results persistence (T 07:00):</w:t>
      </w:r>
      <w:r>
        <w:t xml:space="preserve"> Complete results JSON and trade-level traces persisted to PostgreSQL.</w:t>
      </w:r>
    </w:p>
    <w:p w14:paraId="2566F678" w14:textId="77777777" w:rsidR="008A18DA" w:rsidRDefault="00000000">
      <w:pPr>
        <w:pStyle w:val="ListNumber"/>
        <w:spacing w:before="20" w:after="40"/>
      </w:pPr>
      <w:r>
        <w:rPr>
          <w:b/>
          <w:color w:val="1E2A3A"/>
        </w:rPr>
        <w:t>Dashboard available (T 07:00):</w:t>
      </w:r>
      <w:r>
        <w:t xml:space="preserve"> Risk officers can access the live Streamlit dashboard.</w:t>
      </w:r>
    </w:p>
    <w:p w14:paraId="7A0A1C20" w14:textId="77777777" w:rsidR="008A18DA" w:rsidRDefault="00000000">
      <w:pPr>
        <w:pStyle w:val="ListNumber"/>
        <w:spacing w:before="20" w:after="40"/>
      </w:pPr>
      <w:r>
        <w:rPr>
          <w:b/>
          <w:color w:val="1E2A3A"/>
        </w:rPr>
        <w:lastRenderedPageBreak/>
        <w:t>Limit monitoring (T 07:00–08:00):</w:t>
      </w:r>
      <w:r>
        <w:t xml:space="preserve"> Breach alerts are reviewed; any Red Zone backtesting exception triggers Model Validation escalation.</w:t>
      </w:r>
    </w:p>
    <w:p w14:paraId="70E60337" w14:textId="77777777" w:rsidR="008A18DA" w:rsidRDefault="00000000">
      <w:pPr>
        <w:pStyle w:val="ListNumber"/>
        <w:spacing w:before="20" w:after="40"/>
      </w:pPr>
      <w:r>
        <w:rPr>
          <w:b/>
          <w:color w:val="1E2A3A"/>
        </w:rPr>
        <w:t>Regulatory reporting (as required):</w:t>
      </w:r>
      <w:r>
        <w:t xml:space="preserve"> Monthly/quarterly COREP exports generated from the dashboard Reports page.</w:t>
      </w:r>
    </w:p>
    <w:p w14:paraId="43163E1B" w14:textId="77777777" w:rsidR="008A18DA" w:rsidRDefault="008A18DA">
      <w:pPr>
        <w:pBdr>
          <w:bottom w:val="single" w:sz="6" w:space="1" w:color="9B111E"/>
        </w:pBdr>
      </w:pPr>
    </w:p>
    <w:p w14:paraId="475965A7" w14:textId="77777777" w:rsidR="008A18DA" w:rsidRDefault="00000000">
      <w:pPr>
        <w:pStyle w:val="Heading2"/>
      </w:pPr>
      <w:r>
        <w:t>9.2 Functional Workflow — Engine Execution Flow</w:t>
      </w:r>
    </w:p>
    <w:p w14:paraId="4B9D9B52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PrometheusRunner.run_daily(run_date)</w:t>
      </w:r>
    </w:p>
    <w:p w14:paraId="785C88F4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│</w:t>
      </w:r>
    </w:p>
    <w:p w14:paraId="10FEF5A0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├── build_full_dataset(book_date)</w:t>
      </w:r>
    </w:p>
    <w:p w14:paraId="2021ADB4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│   ├── portfolio_generator: synthetic derivative portfolios</w:t>
      </w:r>
    </w:p>
    <w:p w14:paraId="47119D2B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│   └── portfolio_generator: synthetic banking book portfolios</w:t>
      </w:r>
    </w:p>
    <w:p w14:paraId="09C75F1B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│</w:t>
      </w:r>
    </w:p>
    <w:p w14:paraId="4098322D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├── FOR EACH derivative portfolio:</w:t>
      </w:r>
    </w:p>
    <w:p w14:paraId="29C9B800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│   ├── SACCREngine.compute_ead(netting_set, run_date)</w:t>
      </w:r>
    </w:p>
    <w:p w14:paraId="3AA48EB3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│   │   ├── replacement_cost()</w:t>
      </w:r>
    </w:p>
    <w:p w14:paraId="5603336E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│   │   ├── pfe_multiplier()</w:t>
      </w:r>
    </w:p>
    <w:p w14:paraId="53D8EAF6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│   │   ├── addon_ir(), addon_fx(), addon_credit(), addon_equity(), addon_commodity()</w:t>
      </w:r>
    </w:p>
    <w:p w14:paraId="43BABDB4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│   │   └── EAD = α × (RC + mult × AddOn_agg)</w:t>
      </w:r>
    </w:p>
    <w:p w14:paraId="6E0C702A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│   │</w:t>
      </w:r>
    </w:p>
    <w:p w14:paraId="6E37E9ED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│   ├── IMMEngine.run_for_portfolio(trades, run_date, netting_set)  [if IMM eligible]</w:t>
      </w:r>
    </w:p>
    <w:p w14:paraId="72160DE0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│   │   ├── generate_paths(GBM / Hull-White)</w:t>
      </w:r>
    </w:p>
    <w:p w14:paraId="531F300D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│   │   ├── revalue_portfolio()</w:t>
      </w:r>
    </w:p>
    <w:p w14:paraId="6E834F4B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│   │   ├── apply_csa_adjustment()</w:t>
      </w:r>
    </w:p>
    <w:p w14:paraId="3E85D1A7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│   │   ├── compute_eepe()</w:t>
      </w:r>
    </w:p>
    <w:p w14:paraId="2EC8D29A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│   │   └── EAD_IMM = α × EEPE</w:t>
      </w:r>
    </w:p>
    <w:p w14:paraId="69443D1A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│   │</w:t>
      </w:r>
    </w:p>
    <w:p w14:paraId="79E90282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│   ├── IMM FLOOR CHECK: if EAD_IMM_CSA &lt; 0.5 × EAD_SA-CCR → FALLBACK</w:t>
      </w:r>
    </w:p>
    <w:p w14:paraId="7B121CED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│   │</w:t>
      </w:r>
    </w:p>
    <w:p w14:paraId="00EC98ED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│   └── FRTBEngine.compute(portfolio_id, sensitivities, pnl_series, ...)</w:t>
      </w:r>
    </w:p>
    <w:p w14:paraId="0FB37413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│       ├── SBMCalculator.total_sbm()</w:t>
      </w:r>
    </w:p>
    <w:p w14:paraId="7278A450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│       │   ├── delta_charge() [per risk class, 3 correlation scenarios]</w:t>
      </w:r>
    </w:p>
    <w:p w14:paraId="19448B3C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│       │   ├── vega_charge()</w:t>
      </w:r>
    </w:p>
    <w:p w14:paraId="759E49BF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│       │   └── curvature_charge()</w:t>
      </w:r>
    </w:p>
    <w:p w14:paraId="54801321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│       ├── IMACalculator.compute_es()</w:t>
      </w:r>
    </w:p>
    <w:p w14:paraId="506AC4A9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│       ├── DRCCalculator.compute_drc()</w:t>
      </w:r>
    </w:p>
    <w:p w14:paraId="2B0761E9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│       ├── rrao_charge()</w:t>
      </w:r>
    </w:p>
    <w:p w14:paraId="5543EB4E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│       └── Capital = SBM + IMA + DRC + RRAO; RWA = Capital × 12.5</w:t>
      </w:r>
    </w:p>
    <w:p w14:paraId="29A6EA00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│</w:t>
      </w:r>
    </w:p>
    <w:p w14:paraId="036BD39A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├── FOR EACH banking book portfolio:</w:t>
      </w:r>
    </w:p>
    <w:p w14:paraId="5AA16700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│   └── AIRBEngine.compute_portfolio(exposures)</w:t>
      </w:r>
    </w:p>
    <w:p w14:paraId="7CF963B5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│       ├── FOR EACH exposure:</w:t>
      </w:r>
    </w:p>
    <w:p w14:paraId="06730880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│       │   ├── apply PD/LGD floors</w:t>
      </w:r>
    </w:p>
    <w:p w14:paraId="0619BFA4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│       │   ├── correlation_r()</w:t>
      </w:r>
    </w:p>
    <w:p w14:paraId="24D99F57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│       │   ├── maturity_adjustment()</w:t>
      </w:r>
    </w:p>
    <w:p w14:paraId="4BC29F40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│       │   ├── capital_k()</w:t>
      </w:r>
    </w:p>
    <w:p w14:paraId="04644181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│       │   ├── double_default_k() [if has_cds]</w:t>
      </w:r>
    </w:p>
    <w:p w14:paraId="1531B0E2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│       │   └── RWA = K × 12.5 × EAD</w:t>
      </w:r>
    </w:p>
    <w:p w14:paraId="2E5B785D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│       └── portfolio_summary (total_rwa, total_el, el_shortfall, mitigant_benefit)</w:t>
      </w:r>
    </w:p>
    <w:p w14:paraId="06254C59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│</w:t>
      </w:r>
    </w:p>
    <w:p w14:paraId="5FEEAD86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├── CVAEngine.compute(counterparty_inputs)</w:t>
      </w:r>
    </w:p>
    <w:p w14:paraId="6283DA8C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│   ├── ba_cva() [always available]</w:t>
      </w:r>
    </w:p>
    <w:p w14:paraId="77642A23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│   └── sa_cva() [if approved; else fallback to BA-CVA]</w:t>
      </w:r>
    </w:p>
    <w:p w14:paraId="58B17587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│</w:t>
      </w:r>
    </w:p>
    <w:p w14:paraId="2AF69CC7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├── compute_ccp_rwa(ccp_exposures)</w:t>
      </w:r>
    </w:p>
    <w:p w14:paraId="51E944E0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│   ├── QCCP trade EAD × 2%</w:t>
      </w:r>
    </w:p>
    <w:p w14:paraId="7D042342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lastRenderedPageBreak/>
        <w:t>│   └── DFC capital × 12.5</w:t>
      </w:r>
    </w:p>
    <w:p w14:paraId="22C98BAC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│</w:t>
      </w:r>
    </w:p>
    <w:p w14:paraId="29000028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├── FIVE-PART FORMULA:</w:t>
      </w:r>
    </w:p>
    <w:p w14:paraId="0012BAA1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│   Total_RWA = Credit + CCR + Market + CVA + CCP + OpRisk</w:t>
      </w:r>
    </w:p>
    <w:p w14:paraId="698E5986" w14:textId="77777777" w:rsidR="008A18DA" w:rsidRPr="0067037A" w:rsidRDefault="00000000">
      <w:pPr>
        <w:shd w:val="clear" w:color="auto" w:fill="F4F4F4"/>
        <w:spacing w:after="0"/>
        <w:ind w:left="432"/>
        <w:rPr>
          <w:lang w:val="fr-FR"/>
        </w:rPr>
      </w:pPr>
      <w:r w:rsidRPr="0067037A">
        <w:rPr>
          <w:rFonts w:ascii="Courier New" w:hAnsi="Courier New"/>
          <w:color w:val="2D2D2D"/>
          <w:sz w:val="17"/>
          <w:lang w:val="fr-FR"/>
        </w:rPr>
        <w:t>│</w:t>
      </w:r>
    </w:p>
    <w:p w14:paraId="150D5BE0" w14:textId="77777777" w:rsidR="008A18DA" w:rsidRPr="0067037A" w:rsidRDefault="00000000">
      <w:pPr>
        <w:shd w:val="clear" w:color="auto" w:fill="F4F4F4"/>
        <w:spacing w:after="0"/>
        <w:ind w:left="432"/>
        <w:rPr>
          <w:lang w:val="fr-FR"/>
        </w:rPr>
      </w:pPr>
      <w:r w:rsidRPr="0067037A">
        <w:rPr>
          <w:rFonts w:ascii="Courier New" w:hAnsi="Courier New"/>
          <w:color w:val="2D2D2D"/>
          <w:sz w:val="17"/>
          <w:lang w:val="fr-FR"/>
        </w:rPr>
        <w:t>├── OUTPUT FLOOR:</w:t>
      </w:r>
    </w:p>
    <w:p w14:paraId="3C8A5A98" w14:textId="77777777" w:rsidR="008A18DA" w:rsidRPr="0067037A" w:rsidRDefault="00000000">
      <w:pPr>
        <w:shd w:val="clear" w:color="auto" w:fill="F4F4F4"/>
        <w:spacing w:after="0"/>
        <w:ind w:left="432"/>
        <w:rPr>
          <w:lang w:val="fr-FR"/>
        </w:rPr>
      </w:pPr>
      <w:r w:rsidRPr="0067037A">
        <w:rPr>
          <w:rFonts w:ascii="Courier New" w:hAnsi="Courier New"/>
          <w:color w:val="2D2D2D"/>
          <w:sz w:val="17"/>
          <w:lang w:val="fr-FR"/>
        </w:rPr>
        <w:t>│   SA_base = Credit_SA + CCR_SA + Market_SA + CCP_SA</w:t>
      </w:r>
    </w:p>
    <w:p w14:paraId="22C2583B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│   Final_RWA = max(Total_RWA, 0.725 × SA_base)</w:t>
      </w:r>
    </w:p>
    <w:p w14:paraId="14BF8F33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│   Capital = Final_RWA × 8%</w:t>
      </w:r>
    </w:p>
    <w:p w14:paraId="13E5611C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│</w:t>
      </w:r>
    </w:p>
    <w:p w14:paraId="61CB30E2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└── persist_run(results) → PostgreSQL</w:t>
      </w:r>
    </w:p>
    <w:p w14:paraId="4B1F3367" w14:textId="77777777" w:rsidR="008A18DA" w:rsidRDefault="008A18DA">
      <w:pPr>
        <w:spacing w:after="80"/>
      </w:pPr>
    </w:p>
    <w:p w14:paraId="0703E671" w14:textId="77777777" w:rsidR="008A18DA" w:rsidRDefault="008A18DA">
      <w:pPr>
        <w:pBdr>
          <w:bottom w:val="single" w:sz="6" w:space="1" w:color="9B111E"/>
        </w:pBdr>
      </w:pPr>
    </w:p>
    <w:p w14:paraId="3BAC1F5E" w14:textId="77777777" w:rsidR="008A18DA" w:rsidRDefault="008A18DA">
      <w:pPr>
        <w:pBdr>
          <w:bottom w:val="single" w:sz="6" w:space="1" w:color="9B111E"/>
        </w:pBdr>
      </w:pPr>
    </w:p>
    <w:p w14:paraId="553C3A54" w14:textId="77777777" w:rsidR="008A18DA" w:rsidRDefault="00000000">
      <w:pPr>
        <w:pStyle w:val="Heading1"/>
      </w:pPr>
      <w:r>
        <w:t>10. SYSTEM ARCHITECTURE</w:t>
      </w:r>
    </w:p>
    <w:p w14:paraId="029698EA" w14:textId="77777777" w:rsidR="008A18DA" w:rsidRDefault="008A18DA">
      <w:pPr>
        <w:pBdr>
          <w:bottom w:val="single" w:sz="6" w:space="1" w:color="9B111E"/>
        </w:pBdr>
      </w:pPr>
    </w:p>
    <w:p w14:paraId="6674E7CD" w14:textId="77777777" w:rsidR="008A18DA" w:rsidRDefault="00000000">
      <w:pPr>
        <w:pStyle w:val="Heading2"/>
      </w:pPr>
      <w:r>
        <w:t>10.1 Layered Architecture</w:t>
      </w:r>
    </w:p>
    <w:p w14:paraId="2DED966B" w14:textId="77777777" w:rsidR="008A18DA" w:rsidRDefault="00000000">
      <w:pPr>
        <w:spacing w:before="40" w:after="80"/>
      </w:pPr>
      <w:r>
        <w:t xml:space="preserve">PROMETHEUS follows a strict </w:t>
      </w:r>
      <w:r>
        <w:rPr>
          <w:b/>
        </w:rPr>
        <w:t>five-layer architecture</w:t>
      </w:r>
      <w:r>
        <w:t xml:space="preserve"> separating presentation, application orchestration, business logic, data access, and persistence:</w:t>
      </w:r>
    </w:p>
    <w:p w14:paraId="0EB0436B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1B170A5C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│                         PROMETHEUS PLATFORM                              │</w:t>
      </w:r>
    </w:p>
    <w:p w14:paraId="5DF51E85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│                     Institutional Risk Management                         │</w:t>
      </w:r>
    </w:p>
    <w:p w14:paraId="1FA0CFE0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77538C01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                                  │</w:t>
      </w:r>
    </w:p>
    <w:p w14:paraId="5B2EF514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      ┌───────────────────────────┼───────────────────────────┐</w:t>
      </w:r>
    </w:p>
    <w:p w14:paraId="337CDDB4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      │                           │                           │</w:t>
      </w:r>
    </w:p>
    <w:p w14:paraId="58520946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 ┌────▼────────────────────────────────────────────────────────────────┐</w:t>
      </w:r>
    </w:p>
    <w:p w14:paraId="5E3A95D3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 │ LAYER 1: PRESENTATION                                               │</w:t>
      </w:r>
    </w:p>
    <w:p w14:paraId="08929FDD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 │  Streamlit Dashboard (dashboard/app.py) — Port 8501                │</w:t>
      </w:r>
    </w:p>
    <w:p w14:paraId="7C0B9D73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 │  ┌──────────┐ ┌──────────┐ ┌────────────┐ ┌───────────────────┐   │</w:t>
      </w:r>
    </w:p>
    <w:p w14:paraId="64A43F82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 │  │ Overview │ │Deriv Risk│ │Banking Book│ │Backtesting / PLA  │   │</w:t>
      </w:r>
    </w:p>
    <w:p w14:paraId="0C254C4D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 │  └──────────┘ └──────────┘ └────────────┘ └───────────────────┘   │</w:t>
      </w:r>
    </w:p>
    <w:p w14:paraId="0DECD2EF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 │  ┌──────────┐ ┌──────────┐ ┌────────────┐ ┌───────────────────┐   │</w:t>
      </w:r>
    </w:p>
    <w:p w14:paraId="5164CDB3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 │  │Cap.Plan  │ │ Reports  │ │  Settings  │ │  Documentation    │   │</w:t>
      </w:r>
    </w:p>
    <w:p w14:paraId="233432AE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 │  └──────────┘ └──────────┘ └────────────┘ └───────────────────┘   │</w:t>
      </w:r>
    </w:p>
    <w:p w14:paraId="24891135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 └────────────────────────────────────────────────────────────────────┘</w:t>
      </w:r>
    </w:p>
    <w:p w14:paraId="3965E97C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                                  │</w:t>
      </w:r>
    </w:p>
    <w:p w14:paraId="15BAFB9D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 ┌────────────────────────────────────────────────────────────────────┐</w:t>
      </w:r>
    </w:p>
    <w:p w14:paraId="4153670A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 │ LAYER 2: APPLICATION                                                │</w:t>
      </w:r>
    </w:p>
    <w:p w14:paraId="37A4BC88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 │  PrometheusRunner (backend/main.py)                                │</w:t>
      </w:r>
    </w:p>
    <w:p w14:paraId="45E17556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 │  • Daily risk run orchestration          • Five-part RWA formula   │</w:t>
      </w:r>
    </w:p>
    <w:p w14:paraId="755F4C77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 │  • Output floor logic (RBC20.11)         • Calibration integration │</w:t>
      </w:r>
    </w:p>
    <w:p w14:paraId="64056478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 │  • IMM floor enforcement (CRE53.5)       • Results aggregation     │</w:t>
      </w:r>
    </w:p>
    <w:p w14:paraId="3DEC375F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 └────────────────────────────────────────────────────────────────────┘</w:t>
      </w:r>
    </w:p>
    <w:p w14:paraId="2A1500F1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                                  │</w:t>
      </w:r>
    </w:p>
    <w:p w14:paraId="02D1F7B2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 ┌────────────────────────────────────────────────────────────────────┐</w:t>
      </w:r>
    </w:p>
    <w:p w14:paraId="4C18087B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 │ LAYER 3: BUSINESS LOGIC (backend/engines/)                         │</w:t>
      </w:r>
    </w:p>
    <w:p w14:paraId="510A45F4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 │                                                                    │</w:t>
      </w:r>
    </w:p>
    <w:p w14:paraId="122A885F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 │ ┌────────────────┐  ┌────────────────┐  ┌────────────────────┐   │</w:t>
      </w:r>
    </w:p>
    <w:p w14:paraId="04BE591E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 │ │ SA-CCR Engine  │  │   IMM Engine   │  │   A-IRB Engine     │   │</w:t>
      </w:r>
    </w:p>
    <w:p w14:paraId="156D74A5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 │ │ CRE52          │  │   CRE53        │  │   CRE30–36         │   │</w:t>
      </w:r>
    </w:p>
    <w:p w14:paraId="23209FE1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 │ │ sa_ccr.py      │  │   imm.py       │  │   a_irb.py         │   │</w:t>
      </w:r>
    </w:p>
    <w:p w14:paraId="35A24E96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 │ └────────────────┘  └────────────────┘  └────────────────────┘   │</w:t>
      </w:r>
    </w:p>
    <w:p w14:paraId="2EAD8DC9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lastRenderedPageBreak/>
        <w:t xml:space="preserve">  │                                                                    │</w:t>
      </w:r>
    </w:p>
    <w:p w14:paraId="532521D3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 │ ┌────────────────┐  ┌────────────────┐  ┌────────────────────┐   │</w:t>
      </w:r>
    </w:p>
    <w:p w14:paraId="528F7245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 │ │  FRTB Engine   │  │   CVA Engine   │  │   CCP Engine       │   │</w:t>
      </w:r>
    </w:p>
    <w:p w14:paraId="641F9A01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 │ │  MAR20–33      │  │   MAR50        │  │   CRE54            │   │</w:t>
      </w:r>
    </w:p>
    <w:p w14:paraId="2B640982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 │ │  frtb.py       │  │   cva.py       │  │   ccp.py           │   │</w:t>
      </w:r>
    </w:p>
    <w:p w14:paraId="37CD7E58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 │ │ ┌───────────┐  │  │ ┌──────────┐  │  └────────────────────┘   │</w:t>
      </w:r>
    </w:p>
    <w:p w14:paraId="6174BFB2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 │ │ │SBMCalc    │  │  │ │BA-CVA/   │  │                            │</w:t>
      </w:r>
    </w:p>
    <w:p w14:paraId="56EB05AD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 │ │ │IMACalc    │  │  │ │SA-CVA    │  │                            │</w:t>
      </w:r>
    </w:p>
    <w:p w14:paraId="11459AE9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 │ │ │DRCCalc    │  │  │ └──────────┘  │                            │</w:t>
      </w:r>
    </w:p>
    <w:p w14:paraId="3654A70D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 │ │ │Backtest   │  │  └────────────────┘                           │</w:t>
      </w:r>
    </w:p>
    <w:p w14:paraId="68995F5C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 │ │ └───────────┘  │                                               │</w:t>
      </w:r>
    </w:p>
    <w:p w14:paraId="5EEC2AC1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 │ └────────────────┘                                               │</w:t>
      </w:r>
    </w:p>
    <w:p w14:paraId="25312241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 └────────────────────────────────────────────────────────────────────┘</w:t>
      </w:r>
    </w:p>
    <w:p w14:paraId="68FBDFEB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                                  │</w:t>
      </w:r>
    </w:p>
    <w:p w14:paraId="21CA1F14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 ┌────────────────────────────────────────────────────────────────────┐</w:t>
      </w:r>
    </w:p>
    <w:p w14:paraId="6216FA89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 │ LAYER 4: DATA ACCESS (backend/data_sources/ + data_generators/)    │</w:t>
      </w:r>
    </w:p>
    <w:p w14:paraId="2696436C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 │                                                                    │</w:t>
      </w:r>
    </w:p>
    <w:p w14:paraId="6DA53E0E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 │ ┌─────────────────────────────────────────────────────────────┐   │</w:t>
      </w:r>
    </w:p>
    <w:p w14:paraId="774A8549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 │ │             Market Data Provider (Abstract)                  │   │</w:t>
      </w:r>
    </w:p>
    <w:p w14:paraId="00E8386F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 │ │  BloombergProvider │ RefinitivProvider │ StaticTestProvider   │   │</w:t>
      </w:r>
    </w:p>
    <w:p w14:paraId="67C9B7FD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 │ └─────────────────────────────────────────────────────────────┘   │</w:t>
      </w:r>
    </w:p>
    <w:p w14:paraId="40A4518F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 │ ┌─────────────────────────────────────────────────────────────┐   │</w:t>
      </w:r>
    </w:p>
    <w:p w14:paraId="7AD9A86C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 │ │ CDSSpreadService │ CVAMarketDataFeed │ CalibrationModule      │   │</w:t>
      </w:r>
    </w:p>
    <w:p w14:paraId="0B1F3066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 │ └─────────────────────────────────────────────────────────────┘   │</w:t>
      </w:r>
    </w:p>
    <w:p w14:paraId="46906197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 │ ┌─────────────────────────────────────────────────────────────┐   │</w:t>
      </w:r>
    </w:p>
    <w:p w14:paraId="2BFCC1F6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 │ │ PortfolioGenerator │ CVAGenerator │ Persistence Module        │   │</w:t>
      </w:r>
    </w:p>
    <w:p w14:paraId="1AA9C79F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 │ └─────────────────────────────────────────────────────────────┘   │</w:t>
      </w:r>
    </w:p>
    <w:p w14:paraId="7E5BDCA6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 └────────────────────────────────────────────────────────────────────┘</w:t>
      </w:r>
    </w:p>
    <w:p w14:paraId="252CCDDC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                                  │</w:t>
      </w:r>
    </w:p>
    <w:p w14:paraId="42E226A5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 ┌────────────────────────────────────────────────────────────────────┐</w:t>
      </w:r>
    </w:p>
    <w:p w14:paraId="78F16AD8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 │ LAYER 5: PERSISTENCE                                               │</w:t>
      </w:r>
    </w:p>
    <w:p w14:paraId="609CD7AE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 │  PostgreSQL 15 (Docker — localhost:5432)                           │</w:t>
      </w:r>
    </w:p>
    <w:p w14:paraId="7C0B07BF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 │  ┌──────────────┐ ┌────────────────┐ ┌──────────┐ ┌──────────┐   │</w:t>
      </w:r>
    </w:p>
    <w:p w14:paraId="4E352CE9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 │  │ risk schema  │ │market_data     │ │reference │ │audit     │   │</w:t>
      </w:r>
    </w:p>
    <w:p w14:paraId="6908D084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 │  │ (5 tables)   │ │ (5 tables)     │ │(3 tables)│ │(4 tables)│   │</w:t>
      </w:r>
    </w:p>
    <w:p w14:paraId="12344B0C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 │  └──────────────┘ └────────────────┘ └──────────┘ └──────────┘   │</w:t>
      </w:r>
    </w:p>
    <w:p w14:paraId="7B2FBED5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 └────────────────────────────────────────────────────────────────────┘</w:t>
      </w:r>
    </w:p>
    <w:p w14:paraId="71B8E969" w14:textId="77777777" w:rsidR="008A18DA" w:rsidRDefault="008A18DA">
      <w:pPr>
        <w:spacing w:after="80"/>
      </w:pPr>
    </w:p>
    <w:p w14:paraId="5DDF60E5" w14:textId="77777777" w:rsidR="008A18DA" w:rsidRDefault="00000000">
      <w:pPr>
        <w:pStyle w:val="Heading2"/>
      </w:pPr>
      <w:r>
        <w:t>10.2 External Interface Architecture</w:t>
      </w:r>
    </w:p>
    <w:p w14:paraId="5D9525DA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External Feeds                   PROMETHEUS                   Consumers</w:t>
      </w:r>
    </w:p>
    <w:p w14:paraId="3DDA1548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─────────────────────────────────────────────────────────────────────────</w:t>
      </w:r>
    </w:p>
    <w:p w14:paraId="726F3302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Bloomberg Terminal       ──►  MarketDataProvider  ──►  FRTB RW Adjustment</w:t>
      </w:r>
    </w:p>
    <w:p w14:paraId="2F04DB59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Refinitiv / LSEG Eikon  ──►  CDSSpreadService    ──►  A-IRB PD Calibration</w:t>
      </w:r>
    </w:p>
    <w:p w14:paraId="685FB654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FRED Public API         ──►  CVAMarketDataFeed   ──►  CVA Discounting</w:t>
      </w:r>
    </w:p>
    <w:p w14:paraId="3AE29BEB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Internal REST API       ──►  InternalFeedProvider ──►  All Engines</w:t>
      </w:r>
    </w:p>
    <w:p w14:paraId="22845353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</w:t>
      </w:r>
    </w:p>
    <w:p w14:paraId="497D5F88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PostgreSQL (docker)     ◄──  Persistence Module  ◄──  PrometheusRunner</w:t>
      </w:r>
    </w:p>
    <w:p w14:paraId="69C6D013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                        ──►  Dashboard (app.py) ──►  Streamlit Browser</w:t>
      </w:r>
    </w:p>
    <w:p w14:paraId="0B2969C8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                        ──►  Audit Export       ──►  Regulators / Auditors</w:t>
      </w:r>
    </w:p>
    <w:p w14:paraId="4ECBE151" w14:textId="77777777" w:rsidR="008A18DA" w:rsidRDefault="008A18DA">
      <w:pPr>
        <w:spacing w:after="80"/>
      </w:pPr>
    </w:p>
    <w:p w14:paraId="7E8FBB16" w14:textId="77777777" w:rsidR="008A18DA" w:rsidRDefault="00000000">
      <w:pPr>
        <w:pStyle w:val="Heading2"/>
      </w:pPr>
      <w:r>
        <w:t>10.3 Non-Functional Architecture Constraints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A18DA" w14:paraId="494F4709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1E2A3A"/>
            <w:vAlign w:val="center"/>
          </w:tcPr>
          <w:p w14:paraId="6B0932F3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FFFFFF"/>
                <w:sz w:val="19"/>
              </w:rPr>
              <w:t>Constraint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1E2A3A"/>
            <w:vAlign w:val="center"/>
          </w:tcPr>
          <w:p w14:paraId="5AF48D23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FFFFFF"/>
                <w:sz w:val="19"/>
              </w:rPr>
              <w:t>Value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1E2A3A"/>
            <w:vAlign w:val="center"/>
          </w:tcPr>
          <w:p w14:paraId="72D7511A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FFFFFF"/>
                <w:sz w:val="19"/>
              </w:rPr>
              <w:t>Rationale</w:t>
            </w:r>
          </w:p>
        </w:tc>
      </w:tr>
      <w:tr w:rsidR="008A18DA" w14:paraId="18B53788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0164F007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Max RAM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1858E229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~500 MB total (M1 8 GB)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24E8F96B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MC paths ~40 MB; PostgreSQL ~200 MB; Dashboard ~150 MB</w:t>
            </w:r>
          </w:p>
        </w:tc>
      </w:tr>
      <w:tr w:rsidR="008A18DA" w14:paraId="05933F3D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7B201A55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lastRenderedPageBreak/>
              <w:t>Max run time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199F20BC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&lt; 5 minutes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08B7931C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Daily P&amp;L batch must complete before 08:00 market open</w:t>
            </w:r>
          </w:p>
        </w:tc>
      </w:tr>
      <w:tr w:rsidR="008A18DA" w14:paraId="46B6152C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7CEDC51F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Port allocations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48B03EC8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PostgreSQL: 5432; pgAdmin: 5050; Streamlit: 8501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2C65568C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Fixed for local deployment; configurable via environment variables</w:t>
            </w:r>
          </w:p>
        </w:tc>
      </w:tr>
      <w:tr w:rsidR="008A18DA" w14:paraId="6F1B5B15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52570A6E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Concurrency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703808CE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Single-threaded (Sprint A); multi-core planned (Sprint B)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30B6C7CA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M1 single-thread performance sufficient for 2K scenarios × 52 steps</w:t>
            </w:r>
          </w:p>
        </w:tc>
      </w:tr>
      <w:tr w:rsidR="008A18DA" w14:paraId="5E2905B2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07823882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Python version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29BE7AB7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3.11+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0B768DC2" w14:textId="77777777" w:rsidR="008A18DA" w:rsidRDefault="00000000">
            <w:pPr>
              <w:spacing w:before="40" w:after="40"/>
              <w:ind w:left="80"/>
            </w:pPr>
            <w:r>
              <w:rPr>
                <w:rFonts w:ascii="Courier New" w:hAnsi="Courier New"/>
                <w:color w:val="C7254E"/>
                <w:sz w:val="17"/>
              </w:rPr>
              <w:t>dataclasses</w:t>
            </w:r>
            <w:r>
              <w:rPr>
                <w:sz w:val="19"/>
              </w:rPr>
              <w:t xml:space="preserve">, </w:t>
            </w:r>
            <w:r>
              <w:rPr>
                <w:rFonts w:ascii="Courier New" w:hAnsi="Courier New"/>
                <w:color w:val="C7254E"/>
                <w:sz w:val="17"/>
              </w:rPr>
              <w:t>match</w:t>
            </w:r>
            <w:r>
              <w:rPr>
                <w:sz w:val="19"/>
              </w:rPr>
              <w:t xml:space="preserve">, </w:t>
            </w:r>
            <w:r>
              <w:rPr>
                <w:rFonts w:ascii="Courier New" w:hAnsi="Courier New"/>
                <w:color w:val="C7254E"/>
                <w:sz w:val="17"/>
              </w:rPr>
              <w:t>tomllib</w:t>
            </w:r>
            <w:r>
              <w:rPr>
                <w:sz w:val="19"/>
              </w:rPr>
              <w:t xml:space="preserve"> features required</w:t>
            </w:r>
          </w:p>
        </w:tc>
      </w:tr>
    </w:tbl>
    <w:p w14:paraId="66CC5CAC" w14:textId="77777777" w:rsidR="008A18DA" w:rsidRDefault="008A18DA"/>
    <w:p w14:paraId="490C189D" w14:textId="77777777" w:rsidR="008A18DA" w:rsidRDefault="008A18DA">
      <w:pPr>
        <w:pBdr>
          <w:bottom w:val="single" w:sz="6" w:space="1" w:color="9B111E"/>
        </w:pBdr>
      </w:pPr>
    </w:p>
    <w:p w14:paraId="7019089D" w14:textId="77777777" w:rsidR="008A18DA" w:rsidRDefault="00000000">
      <w:pPr>
        <w:pStyle w:val="Heading1"/>
      </w:pPr>
      <w:r>
        <w:t>11. TECHNICAL DESIGN</w:t>
      </w:r>
    </w:p>
    <w:p w14:paraId="0B6C571D" w14:textId="77777777" w:rsidR="008A18DA" w:rsidRDefault="008A18DA">
      <w:pPr>
        <w:pBdr>
          <w:bottom w:val="single" w:sz="6" w:space="1" w:color="9B111E"/>
        </w:pBdr>
      </w:pPr>
    </w:p>
    <w:p w14:paraId="5656B28C" w14:textId="77777777" w:rsidR="008A18DA" w:rsidRDefault="00000000">
      <w:pPr>
        <w:pStyle w:val="Heading2"/>
      </w:pPr>
      <w:r>
        <w:t>11.1 Technology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6"/>
        <w:gridCol w:w="2486"/>
      </w:tblGrid>
      <w:tr w:rsidR="008A18DA" w14:paraId="42C90673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1E2A3A"/>
            <w:vAlign w:val="center"/>
          </w:tcPr>
          <w:p w14:paraId="570C9BD8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1E2A3A"/>
            <w:vAlign w:val="center"/>
          </w:tcPr>
          <w:p w14:paraId="19C39865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FFFFFF"/>
                <w:sz w:val="19"/>
              </w:rPr>
              <w:t>Technology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1E2A3A"/>
            <w:vAlign w:val="center"/>
          </w:tcPr>
          <w:p w14:paraId="7FBA15E2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1E2A3A"/>
            <w:vAlign w:val="center"/>
          </w:tcPr>
          <w:p w14:paraId="20E66BF9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FFFFFF"/>
                <w:sz w:val="19"/>
              </w:rPr>
              <w:t>Justification</w:t>
            </w:r>
          </w:p>
        </w:tc>
      </w:tr>
      <w:tr w:rsidR="008A18DA" w14:paraId="32C771FF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35093F32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Language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3ECA3DB3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Python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6FADE260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3.11+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7CD281B8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Scientific computing ecosystem; regulatory finance libraries; type safety via Pylance</w:t>
            </w:r>
          </w:p>
        </w:tc>
      </w:tr>
      <w:tr w:rsidR="008A18DA" w14:paraId="6B7602EB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286D0ABF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Numerical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7A420352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NumPy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51865AFF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1.24+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2A5DCC5E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Vectorised matrix operations for SBM correlation matrices; Monte Carlo path arrays</w:t>
            </w:r>
          </w:p>
        </w:tc>
      </w:tr>
      <w:tr w:rsidR="008A18DA" w14:paraId="385F8AC0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295AEA3B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Statistics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1FD8B2D3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SciPy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575116E0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1.10+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5CE7817D" w14:textId="77777777" w:rsidR="008A18DA" w:rsidRDefault="00000000">
            <w:pPr>
              <w:spacing w:before="40" w:after="40"/>
              <w:ind w:left="80"/>
            </w:pPr>
            <w:r>
              <w:rPr>
                <w:rFonts w:ascii="Courier New" w:hAnsi="Courier New"/>
                <w:color w:val="C7254E"/>
                <w:sz w:val="17"/>
              </w:rPr>
              <w:t>scipy.stats.norm</w:t>
            </w:r>
            <w:r>
              <w:rPr>
                <w:sz w:val="19"/>
              </w:rPr>
              <w:t xml:space="preserve"> (inverse CDF for A-IRB); </w:t>
            </w:r>
            <w:r>
              <w:rPr>
                <w:rFonts w:ascii="Courier New" w:hAnsi="Courier New"/>
                <w:color w:val="C7254E"/>
                <w:sz w:val="17"/>
              </w:rPr>
              <w:t>scipy.stats.spearmanr</w:t>
            </w:r>
            <w:r>
              <w:rPr>
                <w:sz w:val="19"/>
              </w:rPr>
              <w:t xml:space="preserve">, </w:t>
            </w:r>
            <w:r>
              <w:rPr>
                <w:rFonts w:ascii="Courier New" w:hAnsi="Courier New"/>
                <w:color w:val="C7254E"/>
                <w:sz w:val="17"/>
              </w:rPr>
              <w:t>ks_2samp</w:t>
            </w:r>
            <w:r>
              <w:rPr>
                <w:sz w:val="19"/>
              </w:rPr>
              <w:t xml:space="preserve"> (backtesting)</w:t>
            </w:r>
          </w:p>
        </w:tc>
      </w:tr>
      <w:tr w:rsidR="008A18DA" w14:paraId="07BF30AA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445AC8A2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Database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69CFC35E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PostgreSQL 15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6286E927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15.x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6CAB6E9B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ACID compliance; JSON column support for trade results; arm64 Docker image</w:t>
            </w:r>
          </w:p>
        </w:tc>
      </w:tr>
      <w:tr w:rsidR="008A18DA" w14:paraId="44736F77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4CBAA314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ORM / Driver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2F0F0E62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psycopg2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6FA79074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2.9+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0A5D9D97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 xml:space="preserve">Native Python PostgreSQL adapter; used in </w:t>
            </w:r>
            <w:r>
              <w:rPr>
                <w:rFonts w:ascii="Courier New" w:hAnsi="Courier New"/>
                <w:color w:val="C7254E"/>
                <w:sz w:val="17"/>
              </w:rPr>
              <w:t>persistence.py</w:t>
            </w:r>
          </w:p>
        </w:tc>
      </w:tr>
      <w:tr w:rsidR="008A18DA" w14:paraId="6A25080D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1B87F842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Dashboard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4A4BAF27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Streamlit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548B4754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1.28+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7E3C4B63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Zero-frontend-code interactive web UI; ideal for risk officer self-service</w:t>
            </w:r>
          </w:p>
        </w:tc>
      </w:tr>
      <w:tr w:rsidR="008A18DA" w14:paraId="2D8E6530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29B2DAED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Visualisation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4D8587C5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Plotly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16B669F5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5.17+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6F0BAA3A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Interactive charts (waterfall RWA, backtesting timeline, ES distribution)</w:t>
            </w:r>
          </w:p>
        </w:tc>
      </w:tr>
      <w:tr w:rsidR="008A18DA" w14:paraId="21FFC9C5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4ACCAE7D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Data Export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294ED943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Pandas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50F1AFBD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2.0+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62EFBBAD" w14:textId="77777777" w:rsidR="008A18DA" w:rsidRDefault="00000000">
            <w:pPr>
              <w:spacing w:before="40" w:after="40"/>
              <w:ind w:left="80"/>
            </w:pPr>
            <w:r>
              <w:rPr>
                <w:rFonts w:ascii="Courier New" w:hAnsi="Courier New"/>
                <w:color w:val="C7254E"/>
                <w:sz w:val="17"/>
              </w:rPr>
              <w:t>pd.ExcelWriter</w:t>
            </w:r>
            <w:r>
              <w:rPr>
                <w:sz w:val="19"/>
              </w:rPr>
              <w:t xml:space="preserve"> for xlsx; </w:t>
            </w:r>
            <w:r>
              <w:rPr>
                <w:rFonts w:ascii="Courier New" w:hAnsi="Courier New"/>
                <w:color w:val="C7254E"/>
                <w:sz w:val="17"/>
              </w:rPr>
              <w:t>DataFrame.to_csv()</w:t>
            </w:r>
            <w:r>
              <w:rPr>
                <w:sz w:val="19"/>
              </w:rPr>
              <w:t xml:space="preserve"> for CSV regulatory exports</w:t>
            </w:r>
          </w:p>
        </w:tc>
      </w:tr>
      <w:tr w:rsidR="008A18DA" w14:paraId="0778DDC3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6CEC4FF3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Testing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40C3FEC2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pytest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3A113E74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7.4+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4295CA26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Unit and integration tests; parametrised test cases for Basel formula validation</w:t>
            </w:r>
          </w:p>
        </w:tc>
      </w:tr>
      <w:tr w:rsidR="008A18DA" w14:paraId="0D4BBA99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42E04008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lastRenderedPageBreak/>
              <w:t>Containerisation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3005439B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Docker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54FF5CD6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24.0+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63995B2D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 xml:space="preserve">PostgreSQL + pgAdmin in arm64 containers; </w:t>
            </w:r>
            <w:r>
              <w:rPr>
                <w:rFonts w:ascii="Courier New" w:hAnsi="Courier New"/>
                <w:color w:val="C7254E"/>
                <w:sz w:val="17"/>
              </w:rPr>
              <w:t>docker-compose.yml</w:t>
            </w:r>
            <w:r>
              <w:rPr>
                <w:sz w:val="19"/>
              </w:rPr>
              <w:t xml:space="preserve"> orchestration</w:t>
            </w:r>
          </w:p>
        </w:tc>
      </w:tr>
      <w:tr w:rsidR="008A18DA" w14:paraId="4D42AD36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2D422C9E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Type Checking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5EB6633E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Pylance (VS Code)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160A240F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Latest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1E160175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Strict mode; 0 type errors enforced in CI</w:t>
            </w:r>
          </w:p>
        </w:tc>
      </w:tr>
    </w:tbl>
    <w:p w14:paraId="11FBC3F1" w14:textId="77777777" w:rsidR="008A18DA" w:rsidRDefault="008A18DA"/>
    <w:p w14:paraId="0298A76E" w14:textId="77777777" w:rsidR="008A18DA" w:rsidRDefault="00000000">
      <w:pPr>
        <w:pStyle w:val="Heading2"/>
      </w:pPr>
      <w:r>
        <w:t>11.2 Core Engine Design Patterns</w:t>
      </w:r>
    </w:p>
    <w:p w14:paraId="355BE740" w14:textId="77777777" w:rsidR="008A18DA" w:rsidRDefault="00000000">
      <w:pPr>
        <w:pStyle w:val="Heading3"/>
      </w:pPr>
      <w:r>
        <w:t>11.2.1 Dataclass-Driven Data Model</w:t>
      </w:r>
    </w:p>
    <w:p w14:paraId="21C35640" w14:textId="77777777" w:rsidR="008A18DA" w:rsidRDefault="00000000">
      <w:pPr>
        <w:spacing w:before="40" w:after="80"/>
      </w:pPr>
      <w:r>
        <w:t xml:space="preserve">All inputs and outputs are strongly-typed Python </w:t>
      </w:r>
      <w:r>
        <w:rPr>
          <w:rFonts w:ascii="Courier New" w:hAnsi="Courier New"/>
        </w:rPr>
        <w:t>dataclass</w:t>
      </w:r>
      <w:r>
        <w:t xml:space="preserve"> objects, enforcing type safety and enabling auto-serialisation:</w:t>
      </w:r>
    </w:p>
    <w:p w14:paraId="5DD0911E" w14:textId="77777777" w:rsidR="008A18DA" w:rsidRDefault="00000000">
      <w:pPr>
        <w:pStyle w:val="ListBullet"/>
        <w:spacing w:before="20" w:after="40"/>
      </w:pPr>
      <w:r>
        <w:rPr>
          <w:rFonts w:ascii="Courier New" w:hAnsi="Courier New"/>
          <w:color w:val="C7254E"/>
          <w:sz w:val="18"/>
        </w:rPr>
        <w:t>Trade</w:t>
      </w:r>
      <w:r>
        <w:t xml:space="preserve">, </w:t>
      </w:r>
      <w:r>
        <w:rPr>
          <w:rFonts w:ascii="Courier New" w:hAnsi="Courier New"/>
          <w:color w:val="C7254E"/>
          <w:sz w:val="18"/>
        </w:rPr>
        <w:t>NettingSet</w:t>
      </w:r>
      <w:r>
        <w:t xml:space="preserve">, </w:t>
      </w:r>
      <w:r>
        <w:rPr>
          <w:rFonts w:ascii="Courier New" w:hAnsi="Courier New"/>
          <w:color w:val="C7254E"/>
          <w:sz w:val="18"/>
        </w:rPr>
        <w:t>SAcCRResult</w:t>
      </w:r>
      <w:r>
        <w:t xml:space="preserve"> — SA-CCR engine</w:t>
      </w:r>
    </w:p>
    <w:p w14:paraId="255C0AC2" w14:textId="77777777" w:rsidR="008A18DA" w:rsidRDefault="00000000">
      <w:pPr>
        <w:pStyle w:val="ListBullet"/>
        <w:spacing w:before="20" w:after="40"/>
      </w:pPr>
      <w:r>
        <w:rPr>
          <w:rFonts w:ascii="Courier New" w:hAnsi="Courier New"/>
          <w:color w:val="C7254E"/>
          <w:sz w:val="18"/>
        </w:rPr>
        <w:t>BankingBookExposure</w:t>
      </w:r>
      <w:r>
        <w:t xml:space="preserve">, </w:t>
      </w:r>
      <w:r>
        <w:rPr>
          <w:rFonts w:ascii="Courier New" w:hAnsi="Courier New"/>
          <w:color w:val="C7254E"/>
          <w:sz w:val="18"/>
        </w:rPr>
        <w:t>AIRBTradeResult</w:t>
      </w:r>
      <w:r>
        <w:t xml:space="preserve"> — A-IRB engine</w:t>
      </w:r>
    </w:p>
    <w:p w14:paraId="57158CAB" w14:textId="77777777" w:rsidR="008A18DA" w:rsidRDefault="00000000">
      <w:pPr>
        <w:pStyle w:val="ListBullet"/>
        <w:spacing w:before="20" w:after="40"/>
      </w:pPr>
      <w:r>
        <w:rPr>
          <w:rFonts w:ascii="Courier New" w:hAnsi="Courier New"/>
          <w:color w:val="C7254E"/>
          <w:sz w:val="18"/>
        </w:rPr>
        <w:t>Sensitivity</w:t>
      </w:r>
      <w:r>
        <w:t xml:space="preserve">, </w:t>
      </w:r>
      <w:r>
        <w:rPr>
          <w:rFonts w:ascii="Courier New" w:hAnsi="Courier New"/>
          <w:color w:val="C7254E"/>
          <w:sz w:val="18"/>
        </w:rPr>
        <w:t>FRTBResult</w:t>
      </w:r>
      <w:r>
        <w:t xml:space="preserve">, </w:t>
      </w:r>
      <w:r>
        <w:rPr>
          <w:rFonts w:ascii="Courier New" w:hAnsi="Courier New"/>
          <w:color w:val="C7254E"/>
          <w:sz w:val="18"/>
        </w:rPr>
        <w:t>ShockScenario</w:t>
      </w:r>
      <w:r>
        <w:t xml:space="preserve"> — FRTB engine</w:t>
      </w:r>
    </w:p>
    <w:p w14:paraId="70C24DF1" w14:textId="77777777" w:rsidR="008A18DA" w:rsidRDefault="00000000">
      <w:pPr>
        <w:pStyle w:val="ListBullet"/>
        <w:spacing w:before="20" w:after="40"/>
      </w:pPr>
      <w:r>
        <w:rPr>
          <w:rFonts w:ascii="Courier New" w:hAnsi="Courier New"/>
          <w:color w:val="C7254E"/>
          <w:sz w:val="18"/>
        </w:rPr>
        <w:t>CCPExposure</w:t>
      </w:r>
      <w:r>
        <w:t xml:space="preserve">, </w:t>
      </w:r>
      <w:r>
        <w:rPr>
          <w:rFonts w:ascii="Courier New" w:hAnsi="Courier New"/>
          <w:color w:val="C7254E"/>
          <w:sz w:val="18"/>
        </w:rPr>
        <w:t>CCPResult</w:t>
      </w:r>
      <w:r>
        <w:t xml:space="preserve"> — CCP engine</w:t>
      </w:r>
    </w:p>
    <w:p w14:paraId="6934FDE0" w14:textId="77777777" w:rsidR="008A18DA" w:rsidRDefault="00000000">
      <w:pPr>
        <w:pStyle w:val="ListBullet"/>
        <w:spacing w:before="20" w:after="40"/>
      </w:pPr>
      <w:r>
        <w:rPr>
          <w:rFonts w:ascii="Courier New" w:hAnsi="Courier New"/>
          <w:color w:val="C7254E"/>
          <w:sz w:val="18"/>
        </w:rPr>
        <w:t>ExposureProfile</w:t>
      </w:r>
      <w:r>
        <w:t xml:space="preserve">, </w:t>
      </w:r>
      <w:r>
        <w:rPr>
          <w:rFonts w:ascii="Courier New" w:hAnsi="Courier New"/>
          <w:color w:val="C7254E"/>
          <w:sz w:val="18"/>
        </w:rPr>
        <w:t>CSATerms</w:t>
      </w:r>
      <w:r>
        <w:t xml:space="preserve"> — IMM engine</w:t>
      </w:r>
    </w:p>
    <w:p w14:paraId="30FC66CC" w14:textId="77777777" w:rsidR="008A18DA" w:rsidRDefault="00000000">
      <w:pPr>
        <w:pStyle w:val="Heading3"/>
      </w:pPr>
      <w:r>
        <w:t>11.2.2 Abstract Market Data Interface</w:t>
      </w:r>
    </w:p>
    <w:p w14:paraId="5E007394" w14:textId="77777777" w:rsidR="008A18DA" w:rsidRDefault="00000000">
      <w:pPr>
        <w:spacing w:before="40" w:after="80"/>
      </w:pPr>
      <w:r>
        <w:rPr>
          <w:rFonts w:ascii="Courier New" w:hAnsi="Courier New"/>
        </w:rPr>
        <w:t>MarketDataProvider</w:t>
      </w:r>
      <w:r>
        <w:t xml:space="preserve"> (ABC) defines the contract; concrete implementations inject via dependency inversion. </w:t>
      </w:r>
      <w:r>
        <w:rPr>
          <w:rFonts w:ascii="Courier New" w:hAnsi="Courier New"/>
        </w:rPr>
        <w:t>CDSSpreadService</w:t>
      </w:r>
      <w:r>
        <w:t xml:space="preserve"> composes providers with fallback and caching, following the </w:t>
      </w:r>
      <w:r>
        <w:rPr>
          <w:b/>
        </w:rPr>
        <w:t>Strategy Pattern</w:t>
      </w:r>
      <w:r>
        <w:t>.</w:t>
      </w:r>
    </w:p>
    <w:p w14:paraId="525EDBF1" w14:textId="77777777" w:rsidR="008A18DA" w:rsidRDefault="00000000">
      <w:pPr>
        <w:pStyle w:val="Heading3"/>
      </w:pPr>
      <w:r>
        <w:t>11.2.3 Pluggable Correlation Model</w:t>
      </w:r>
    </w:p>
    <w:p w14:paraId="1C288AF7" w14:textId="77777777" w:rsidR="008A18DA" w:rsidRDefault="00000000">
      <w:pPr>
        <w:spacing w:before="40" w:after="80"/>
      </w:pPr>
      <w:r>
        <w:rPr>
          <w:rFonts w:ascii="Courier New" w:hAnsi="Courier New"/>
        </w:rPr>
        <w:t>CorrelationModel</w:t>
      </w:r>
      <w:r>
        <w:t xml:space="preserve"> is injectable into </w:t>
      </w:r>
      <w:r>
        <w:rPr>
          <w:rFonts w:ascii="Courier New" w:hAnsi="Courier New"/>
        </w:rPr>
        <w:t>FRTBConfig</w:t>
      </w:r>
      <w:r>
        <w:t>, enabling alternative correlation structures (e.g., empirical GIRR tenor correlations) without modifying engine code.</w:t>
      </w:r>
    </w:p>
    <w:p w14:paraId="5A67D41C" w14:textId="77777777" w:rsidR="008A18DA" w:rsidRDefault="00000000">
      <w:pPr>
        <w:pStyle w:val="Heading3"/>
      </w:pPr>
      <w:r>
        <w:t>11.2.4 Real-Time Market Condition Adjustment</w:t>
      </w:r>
    </w:p>
    <w:p w14:paraId="5C4120B8" w14:textId="77777777" w:rsidR="008A18DA" w:rsidRDefault="00000000">
      <w:pPr>
        <w:spacing w:before="40" w:after="80"/>
      </w:pPr>
      <w:r>
        <w:rPr>
          <w:rFonts w:ascii="Courier New" w:hAnsi="Courier New"/>
        </w:rPr>
        <w:t>DynamicParameterAdjustment</w:t>
      </w:r>
      <w:r>
        <w:t xml:space="preserve"> wraps </w:t>
      </w:r>
      <w:r>
        <w:rPr>
          <w:rFonts w:ascii="Courier New" w:hAnsi="Courier New"/>
        </w:rPr>
        <w:t>FRTBConfig</w:t>
      </w:r>
      <w:r>
        <w:t xml:space="preserve"> and </w:t>
      </w:r>
      <w:r>
        <w:rPr>
          <w:rFonts w:ascii="Courier New" w:hAnsi="Courier New"/>
        </w:rPr>
        <w:t>MarketConditions</w:t>
      </w:r>
      <w:r>
        <w:t xml:space="preserve"> to scale risk weights and correlations based on live market stress index. This is a clean </w:t>
      </w:r>
      <w:r>
        <w:rPr>
          <w:b/>
        </w:rPr>
        <w:t>Decorator Pattern</w:t>
      </w:r>
      <w:r>
        <w:t xml:space="preserve"> extension:</w:t>
      </w:r>
    </w:p>
    <w:p w14:paraId="499117EC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MarketConditions → stress_level() → DynamicParameterAdjustment.adjust_risk_weights()</w:t>
      </w:r>
    </w:p>
    <w:p w14:paraId="5E4F93D8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                                                      ↓</w:t>
      </w:r>
    </w:p>
    <w:p w14:paraId="2DE7C0E1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                                        SBMCalculator._risk_weight_for()</w:t>
      </w:r>
    </w:p>
    <w:p w14:paraId="2EDF316F" w14:textId="77777777" w:rsidR="008A18DA" w:rsidRDefault="008A18DA">
      <w:pPr>
        <w:spacing w:after="80"/>
      </w:pPr>
    </w:p>
    <w:p w14:paraId="437843EB" w14:textId="77777777" w:rsidR="008A18DA" w:rsidRDefault="00000000">
      <w:pPr>
        <w:pStyle w:val="Heading3"/>
      </w:pPr>
      <w:r>
        <w:t>11.2.5 Fallback Trace Code Pattern</w:t>
      </w:r>
    </w:p>
    <w:p w14:paraId="77D26AFB" w14:textId="77777777" w:rsidR="008A18DA" w:rsidRDefault="00000000">
      <w:pPr>
        <w:spacing w:before="40" w:after="80"/>
      </w:pPr>
      <w:r>
        <w:t>Every fallback event writes a structured trace string directly onto the trade object:</w:t>
      </w:r>
    </w:p>
    <w:p w14:paraId="5E5F0C81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format: "FALLBACK|{trade_id}|{reason_code}|{description}"</w:t>
      </w:r>
    </w:p>
    <w:p w14:paraId="7F6F8B4C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example: "FALLBACK|TRD-001|REGULATORY_FLOOR|IMM EAD below 50% SA-CCR floor — CRE53.5"</w:t>
      </w:r>
    </w:p>
    <w:p w14:paraId="753FEC06" w14:textId="77777777" w:rsidR="008A18DA" w:rsidRDefault="008A18DA">
      <w:pPr>
        <w:spacing w:after="80"/>
      </w:pPr>
    </w:p>
    <w:p w14:paraId="304EA754" w14:textId="77777777" w:rsidR="008A18DA" w:rsidRDefault="00000000">
      <w:pPr>
        <w:spacing w:before="40" w:after="80"/>
      </w:pPr>
      <w:r>
        <w:t>This is consumed downstream by the audit persistence layer and surfaced on the dashboard.</w:t>
      </w:r>
    </w:p>
    <w:p w14:paraId="547612D0" w14:textId="77777777" w:rsidR="008A18DA" w:rsidRDefault="00000000">
      <w:pPr>
        <w:pStyle w:val="Heading2"/>
      </w:pPr>
      <w:r>
        <w:lastRenderedPageBreak/>
        <w:t>11.3 Database Design</w:t>
      </w:r>
    </w:p>
    <w:p w14:paraId="50BC9279" w14:textId="77777777" w:rsidR="008A18DA" w:rsidRDefault="00000000">
      <w:pPr>
        <w:pStyle w:val="Heading3"/>
      </w:pPr>
      <w:r>
        <w:t>11.3.1 Schema Overview (17 Tables)</w:t>
      </w:r>
    </w:p>
    <w:p w14:paraId="6D4C0EC9" w14:textId="77777777" w:rsidR="008A18DA" w:rsidRDefault="00000000">
      <w:pPr>
        <w:spacing w:before="40" w:after="80"/>
      </w:pPr>
      <w:r>
        <w:rPr>
          <w:b/>
        </w:rPr>
        <w:t>risk schema:</w:t>
      </w:r>
    </w:p>
    <w:p w14:paraId="19E02544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portfolios    (portfolio_id VARCHAR PK, type VARCHAR, run_date DATE, cpty_id VARCHAR)</w:t>
      </w:r>
    </w:p>
    <w:p w14:paraId="470258ED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trades        (trade_id VARCHAR PK, portfolio_id FK, asset_class, instrument_type,</w:t>
      </w:r>
    </w:p>
    <w:p w14:paraId="401A50EB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              notional NUMERIC, mtm NUMERIC, maturity_date DATE)</w:t>
      </w:r>
    </w:p>
    <w:p w14:paraId="4C9F1286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netting_sets  (netting_id VARCHAR PK, counterparty_id FK, initial_margin NUMERIC,</w:t>
      </w:r>
    </w:p>
    <w:p w14:paraId="0D967FA4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              variation_margin NUMERIC, threshold NUMERIC, mta NUMERIC, mpor_days INT)</w:t>
      </w:r>
    </w:p>
    <w:p w14:paraId="61AB6BB3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exposures     (exposure_id VARCHAR PK, portfolio_id FK, ead NUMERIC, pd NUMERIC,</w:t>
      </w:r>
    </w:p>
    <w:p w14:paraId="084FA9EB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              lgd NUMERIC, maturity NUMERIC, sales_volume NUMERIC)</w:t>
      </w:r>
    </w:p>
    <w:p w14:paraId="73364175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rwa_results   (result_id SERIAL PK, run_date DATE, rwa_credit NUMERIC, rwa_ccr NUMERIC,</w:t>
      </w:r>
    </w:p>
    <w:p w14:paraId="037A2257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              rwa_market NUMERIC, rwa_cva NUMERIC, rwa_ccp NUMERIC, rwa_oprisk NUMERIC,</w:t>
      </w:r>
    </w:p>
    <w:p w14:paraId="7F84083E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              total_rwa NUMERIC, final_rwa NUMERIC, capital NUMERIC)</w:t>
      </w:r>
    </w:p>
    <w:p w14:paraId="073D2BE9" w14:textId="77777777" w:rsidR="008A18DA" w:rsidRDefault="008A18DA">
      <w:pPr>
        <w:spacing w:after="80"/>
      </w:pPr>
    </w:p>
    <w:p w14:paraId="50CA4703" w14:textId="77777777" w:rsidR="008A18DA" w:rsidRDefault="00000000">
      <w:pPr>
        <w:spacing w:before="40" w:after="80"/>
      </w:pPr>
      <w:r>
        <w:rPr>
          <w:b/>
        </w:rPr>
        <w:t>market_data schema:</w:t>
      </w:r>
    </w:p>
    <w:p w14:paraId="7B130EDC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yield_curves        (curve_id VARCHAR PK, currency VARCHAR, tenor NUMERIC, rate NUMERIC, date DATE)</w:t>
      </w:r>
    </w:p>
    <w:p w14:paraId="252E06C8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fx_rates            (pair VARCHAR PK, rate NUMERIC, date DATE)</w:t>
      </w:r>
    </w:p>
    <w:p w14:paraId="71C7000B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vol_surfaces        (surface_id VARCHAR PK, asset_class, strike NUMERIC, maturity NUMERIC, vol NUMERIC)</w:t>
      </w:r>
    </w:p>
    <w:p w14:paraId="7A599A95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cds_spreads         (entity_id VARCHAR PK, tenor NUMERIC, spread_bp NUMERIC, date DATE)</w:t>
      </w:r>
    </w:p>
    <w:p w14:paraId="5A8C383E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correlation_matrices(matrix_id VARCHAR PK, risk_class VARCHAR, values JSONB)</w:t>
      </w:r>
    </w:p>
    <w:p w14:paraId="505694F0" w14:textId="77777777" w:rsidR="008A18DA" w:rsidRDefault="008A18DA">
      <w:pPr>
        <w:spacing w:after="80"/>
      </w:pPr>
    </w:p>
    <w:p w14:paraId="249CA30A" w14:textId="77777777" w:rsidR="008A18DA" w:rsidRDefault="00000000">
      <w:pPr>
        <w:spacing w:before="40" w:after="80"/>
      </w:pPr>
      <w:r>
        <w:rPr>
          <w:b/>
        </w:rPr>
        <w:t>reference schema:</w:t>
      </w:r>
    </w:p>
    <w:p w14:paraId="28278708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counterparties    (counterparty_id VARCHAR PK, name VARCHAR, rating VARCHAR, sector VARCHAR)</w:t>
      </w:r>
    </w:p>
    <w:p w14:paraId="0F7413ED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risk_limits       (limit_id VARCHAR PK, limit_type VARCHAR, threshold NUMERIC, currency VARCHAR)</w:t>
      </w:r>
    </w:p>
    <w:p w14:paraId="732D32A7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regulatory_params (param_id VARCHAR PK, standard VARCHAR, parameter VARCHAR, value NUMERIC)</w:t>
      </w:r>
    </w:p>
    <w:p w14:paraId="27FD1C6B" w14:textId="77777777" w:rsidR="008A18DA" w:rsidRDefault="008A18DA">
      <w:pPr>
        <w:spacing w:after="80"/>
      </w:pPr>
    </w:p>
    <w:p w14:paraId="3437EFFE" w14:textId="77777777" w:rsidR="008A18DA" w:rsidRDefault="00000000">
      <w:pPr>
        <w:spacing w:before="40" w:after="80"/>
      </w:pPr>
      <w:r>
        <w:rPr>
          <w:b/>
        </w:rPr>
        <w:t>audit schema:</w:t>
      </w:r>
    </w:p>
    <w:p w14:paraId="60FEA2D0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run_logs             (log_id SERIAL PK, run_date DATE, status VARCHAR, duration_sec NUMERIC, engine_version VARCHAR)</w:t>
      </w:r>
    </w:p>
    <w:p w14:paraId="23B8E09A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calculation_traces   (trace_id SERIAL PK, portfolio_id FK, engine VARCHAR, formula TEXT, result NUMERIC, ts TIMESTAMPTZ)</w:t>
      </w:r>
    </w:p>
    <w:p w14:paraId="068D4206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breach_alerts        (alert_id SERIAL PK, limit_id FK, value NUMERIC, threshold NUMERIC, ts TIMESTAMPTZ)</w:t>
      </w:r>
    </w:p>
    <w:p w14:paraId="742A9DFE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user_actions         (action_id SERIAL PK, user_name VARCHAR, action_type VARCHAR, detail TEXT, ts TIMESTAMPTZ)</w:t>
      </w:r>
    </w:p>
    <w:p w14:paraId="21FC13DC" w14:textId="77777777" w:rsidR="008A18DA" w:rsidRDefault="008A18DA">
      <w:pPr>
        <w:spacing w:after="80"/>
      </w:pPr>
    </w:p>
    <w:p w14:paraId="5E9298B1" w14:textId="77777777" w:rsidR="008A18DA" w:rsidRDefault="00000000">
      <w:pPr>
        <w:pStyle w:val="Heading2"/>
      </w:pPr>
      <w:r>
        <w:t>11.4 Configuration Management</w:t>
      </w:r>
    </w:p>
    <w:p w14:paraId="38F899DD" w14:textId="77777777" w:rsidR="008A18DA" w:rsidRDefault="00000000">
      <w:pPr>
        <w:spacing w:before="40" w:after="80"/>
      </w:pPr>
      <w:r>
        <w:t xml:space="preserve">All regulatory parameters are centralised in </w:t>
      </w:r>
      <w:r>
        <w:rPr>
          <w:rFonts w:ascii="Courier New" w:hAnsi="Courier New"/>
        </w:rPr>
        <w:t>backend/config.py</w:t>
      </w:r>
      <w:r>
        <w:t xml:space="preserve"> as typed dataclass instances: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A18DA" w14:paraId="37725994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1E2A3A"/>
            <w:vAlign w:val="center"/>
          </w:tcPr>
          <w:p w14:paraId="34338BC7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FFFFFF"/>
                <w:sz w:val="19"/>
              </w:rPr>
              <w:t>Config Class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1E2A3A"/>
            <w:vAlign w:val="center"/>
          </w:tcPr>
          <w:p w14:paraId="388618A0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FFFFFF"/>
                <w:sz w:val="19"/>
              </w:rPr>
              <w:t>Instance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1E2A3A"/>
            <w:vAlign w:val="center"/>
          </w:tcPr>
          <w:p w14:paraId="0B6B88F8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FFFFFF"/>
                <w:sz w:val="19"/>
              </w:rPr>
              <w:t>Key Parameters</w:t>
            </w:r>
          </w:p>
        </w:tc>
      </w:tr>
      <w:tr w:rsidR="008A18DA" w14:paraId="739D786A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38E3412F" w14:textId="77777777" w:rsidR="008A18DA" w:rsidRDefault="00000000">
            <w:pPr>
              <w:spacing w:before="40" w:after="40"/>
              <w:ind w:left="80"/>
            </w:pPr>
            <w:r>
              <w:rPr>
                <w:rFonts w:ascii="Courier New" w:hAnsi="Courier New"/>
                <w:color w:val="C7254E"/>
                <w:sz w:val="17"/>
              </w:rPr>
              <w:lastRenderedPageBreak/>
              <w:t>SACarCRConfig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01486751" w14:textId="77777777" w:rsidR="008A18DA" w:rsidRDefault="00000000">
            <w:pPr>
              <w:spacing w:before="40" w:after="40"/>
              <w:ind w:left="80"/>
            </w:pPr>
            <w:r>
              <w:rPr>
                <w:rFonts w:ascii="Courier New" w:hAnsi="Courier New"/>
                <w:color w:val="C7254E"/>
                <w:sz w:val="17"/>
              </w:rPr>
              <w:t>SACCR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51B04D97" w14:textId="77777777" w:rsidR="008A18DA" w:rsidRDefault="00000000">
            <w:pPr>
              <w:spacing w:before="40" w:after="40"/>
              <w:ind w:left="80"/>
            </w:pPr>
            <w:r>
              <w:rPr>
                <w:rFonts w:ascii="Courier New" w:hAnsi="Courier New"/>
                <w:color w:val="C7254E"/>
                <w:sz w:val="17"/>
              </w:rPr>
              <w:t>alpha=1.4</w:t>
            </w:r>
            <w:r>
              <w:rPr>
                <w:sz w:val="19"/>
              </w:rPr>
              <w:t xml:space="preserve">, </w:t>
            </w:r>
            <w:r>
              <w:rPr>
                <w:rFonts w:ascii="Courier New" w:hAnsi="Courier New"/>
                <w:color w:val="C7254E"/>
                <w:sz w:val="17"/>
              </w:rPr>
              <w:t>floor_multiplier=0.05</w:t>
            </w:r>
            <w:r>
              <w:rPr>
                <w:sz w:val="19"/>
              </w:rPr>
              <w:t xml:space="preserve">, </w:t>
            </w:r>
            <w:r>
              <w:rPr>
                <w:rFonts w:ascii="Courier New" w:hAnsi="Courier New"/>
                <w:color w:val="C7254E"/>
                <w:sz w:val="17"/>
              </w:rPr>
              <w:t>mpor_secured=10</w:t>
            </w:r>
          </w:p>
        </w:tc>
      </w:tr>
      <w:tr w:rsidR="008A18DA" w14:paraId="76E03028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7B2168A6" w14:textId="77777777" w:rsidR="008A18DA" w:rsidRDefault="00000000">
            <w:pPr>
              <w:spacing w:before="40" w:after="40"/>
              <w:ind w:left="80"/>
            </w:pPr>
            <w:r>
              <w:rPr>
                <w:rFonts w:ascii="Courier New" w:hAnsi="Courier New"/>
                <w:color w:val="C7254E"/>
                <w:sz w:val="17"/>
              </w:rPr>
              <w:t>IMMConfig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4BB8A8F5" w14:textId="77777777" w:rsidR="008A18DA" w:rsidRDefault="00000000">
            <w:pPr>
              <w:spacing w:before="40" w:after="40"/>
              <w:ind w:left="80"/>
            </w:pPr>
            <w:r>
              <w:rPr>
                <w:rFonts w:ascii="Courier New" w:hAnsi="Courier New"/>
                <w:color w:val="C7254E"/>
                <w:sz w:val="17"/>
              </w:rPr>
              <w:t>IMM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06369434" w14:textId="77777777" w:rsidR="008A18DA" w:rsidRDefault="00000000">
            <w:pPr>
              <w:spacing w:before="40" w:after="40"/>
              <w:ind w:left="80"/>
            </w:pPr>
            <w:r>
              <w:rPr>
                <w:rFonts w:ascii="Courier New" w:hAnsi="Courier New"/>
                <w:color w:val="C7254E"/>
                <w:sz w:val="17"/>
              </w:rPr>
              <w:t>num_scenarios=2000</w:t>
            </w:r>
            <w:r>
              <w:rPr>
                <w:sz w:val="19"/>
              </w:rPr>
              <w:t xml:space="preserve">, </w:t>
            </w:r>
            <w:r>
              <w:rPr>
                <w:rFonts w:ascii="Courier New" w:hAnsi="Courier New"/>
                <w:color w:val="C7254E"/>
                <w:sz w:val="17"/>
              </w:rPr>
              <w:t>time_steps=52</w:t>
            </w:r>
            <w:r>
              <w:rPr>
                <w:sz w:val="19"/>
              </w:rPr>
              <w:t xml:space="preserve">, </w:t>
            </w:r>
            <w:r>
              <w:rPr>
                <w:rFonts w:ascii="Courier New" w:hAnsi="Courier New"/>
                <w:color w:val="C7254E"/>
                <w:sz w:val="17"/>
              </w:rPr>
              <w:t>alpha=1.4</w:t>
            </w:r>
            <w:r>
              <w:rPr>
                <w:sz w:val="19"/>
              </w:rPr>
              <w:t xml:space="preserve">, </w:t>
            </w:r>
            <w:r>
              <w:rPr>
                <w:rFonts w:ascii="Courier New" w:hAnsi="Courier New"/>
                <w:color w:val="C7254E"/>
                <w:sz w:val="17"/>
              </w:rPr>
              <w:t>random_seed=42</w:t>
            </w:r>
          </w:p>
        </w:tc>
      </w:tr>
      <w:tr w:rsidR="008A18DA" w14:paraId="56784AAA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11A46140" w14:textId="77777777" w:rsidR="008A18DA" w:rsidRDefault="00000000">
            <w:pPr>
              <w:spacing w:before="40" w:after="40"/>
              <w:ind w:left="80"/>
            </w:pPr>
            <w:r>
              <w:rPr>
                <w:rFonts w:ascii="Courier New" w:hAnsi="Courier New"/>
                <w:color w:val="C7254E"/>
                <w:sz w:val="17"/>
              </w:rPr>
              <w:t>AIRBConfig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6A338B52" w14:textId="77777777" w:rsidR="008A18DA" w:rsidRDefault="00000000">
            <w:pPr>
              <w:spacing w:before="40" w:after="40"/>
              <w:ind w:left="80"/>
            </w:pPr>
            <w:r>
              <w:rPr>
                <w:rFonts w:ascii="Courier New" w:hAnsi="Courier New"/>
                <w:color w:val="C7254E"/>
                <w:sz w:val="17"/>
              </w:rPr>
              <w:t>AIRB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5674B609" w14:textId="77777777" w:rsidR="008A18DA" w:rsidRDefault="00000000">
            <w:pPr>
              <w:spacing w:before="40" w:after="40"/>
              <w:ind w:left="80"/>
            </w:pPr>
            <w:r>
              <w:rPr>
                <w:rFonts w:ascii="Courier New" w:hAnsi="Courier New"/>
                <w:color w:val="C7254E"/>
                <w:sz w:val="17"/>
              </w:rPr>
              <w:t>pd_floor=0.0003</w:t>
            </w:r>
            <w:r>
              <w:rPr>
                <w:sz w:val="19"/>
              </w:rPr>
              <w:t xml:space="preserve">, </w:t>
            </w:r>
            <w:r>
              <w:rPr>
                <w:rFonts w:ascii="Courier New" w:hAnsi="Courier New"/>
                <w:color w:val="C7254E"/>
                <w:sz w:val="17"/>
              </w:rPr>
              <w:t>lgd_floor_unsecured=0.25</w:t>
            </w:r>
            <w:r>
              <w:rPr>
                <w:sz w:val="19"/>
              </w:rPr>
              <w:t xml:space="preserve">, </w:t>
            </w:r>
            <w:r>
              <w:rPr>
                <w:rFonts w:ascii="Courier New" w:hAnsi="Courier New"/>
                <w:color w:val="C7254E"/>
                <w:sz w:val="17"/>
              </w:rPr>
              <w:t>maturity_cap=5.0</w:t>
            </w:r>
          </w:p>
        </w:tc>
      </w:tr>
      <w:tr w:rsidR="008A18DA" w14:paraId="38A870D3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5FD53BF7" w14:textId="77777777" w:rsidR="008A18DA" w:rsidRDefault="00000000">
            <w:pPr>
              <w:spacing w:before="40" w:after="40"/>
              <w:ind w:left="80"/>
            </w:pPr>
            <w:r>
              <w:rPr>
                <w:rFonts w:ascii="Courier New" w:hAnsi="Courier New"/>
                <w:color w:val="C7254E"/>
                <w:sz w:val="17"/>
              </w:rPr>
              <w:t>FRTBConfig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126A5544" w14:textId="77777777" w:rsidR="008A18DA" w:rsidRDefault="00000000">
            <w:pPr>
              <w:spacing w:before="40" w:after="40"/>
              <w:ind w:left="80"/>
            </w:pPr>
            <w:r>
              <w:rPr>
                <w:rFonts w:ascii="Courier New" w:hAnsi="Courier New"/>
                <w:color w:val="C7254E"/>
                <w:sz w:val="17"/>
              </w:rPr>
              <w:t>FRTB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1455BFB6" w14:textId="77777777" w:rsidR="008A18DA" w:rsidRDefault="00000000">
            <w:pPr>
              <w:spacing w:before="40" w:after="40"/>
              <w:ind w:left="80"/>
            </w:pPr>
            <w:r>
              <w:rPr>
                <w:rFonts w:ascii="Courier New" w:hAnsi="Courier New"/>
                <w:color w:val="C7254E"/>
                <w:sz w:val="17"/>
              </w:rPr>
              <w:t>confidence_es=0.975</w:t>
            </w:r>
            <w:r>
              <w:rPr>
                <w:sz w:val="19"/>
              </w:rPr>
              <w:t xml:space="preserve">, </w:t>
            </w:r>
            <w:r>
              <w:rPr>
                <w:rFonts w:ascii="Courier New" w:hAnsi="Courier New"/>
                <w:color w:val="C7254E"/>
                <w:sz w:val="17"/>
              </w:rPr>
              <w:t>holding_period_days=10</w:t>
            </w:r>
            <w:r>
              <w:rPr>
                <w:sz w:val="19"/>
              </w:rPr>
              <w:t xml:space="preserve">, </w:t>
            </w:r>
            <w:r>
              <w:rPr>
                <w:rFonts w:ascii="Courier New" w:hAnsi="Courier New"/>
                <w:color w:val="C7254E"/>
                <w:sz w:val="17"/>
              </w:rPr>
              <w:t>green_zone_exceptions=4</w:t>
            </w:r>
          </w:p>
        </w:tc>
      </w:tr>
      <w:tr w:rsidR="008A18DA" w14:paraId="3BAC346C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30FD21F9" w14:textId="77777777" w:rsidR="008A18DA" w:rsidRDefault="00000000">
            <w:pPr>
              <w:spacing w:before="40" w:after="40"/>
              <w:ind w:left="80"/>
            </w:pPr>
            <w:r>
              <w:rPr>
                <w:rFonts w:ascii="Courier New" w:hAnsi="Courier New"/>
                <w:color w:val="C7254E"/>
                <w:sz w:val="17"/>
              </w:rPr>
              <w:t>MarketDataConfig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7A0D26B2" w14:textId="77777777" w:rsidR="008A18DA" w:rsidRDefault="00000000">
            <w:pPr>
              <w:spacing w:before="40" w:after="40"/>
              <w:ind w:left="80"/>
            </w:pPr>
            <w:r>
              <w:rPr>
                <w:rFonts w:ascii="Courier New" w:hAnsi="Courier New"/>
                <w:color w:val="C7254E"/>
                <w:sz w:val="17"/>
              </w:rPr>
              <w:t>MARKET_DATA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65926150" w14:textId="77777777" w:rsidR="008A18DA" w:rsidRDefault="00000000">
            <w:pPr>
              <w:spacing w:before="40" w:after="40"/>
              <w:ind w:left="80"/>
            </w:pPr>
            <w:r>
              <w:rPr>
                <w:rFonts w:ascii="Courier New" w:hAnsi="Courier New"/>
                <w:color w:val="C7254E"/>
                <w:sz w:val="17"/>
              </w:rPr>
              <w:t>primary_source</w:t>
            </w:r>
            <w:r>
              <w:rPr>
                <w:sz w:val="19"/>
              </w:rPr>
              <w:t xml:space="preserve">, </w:t>
            </w:r>
            <w:r>
              <w:rPr>
                <w:rFonts w:ascii="Courier New" w:hAnsi="Courier New"/>
                <w:color w:val="C7254E"/>
                <w:sz w:val="17"/>
              </w:rPr>
              <w:t>cache_ttl_seconds=300</w:t>
            </w:r>
            <w:r>
              <w:rPr>
                <w:sz w:val="19"/>
              </w:rPr>
              <w:t xml:space="preserve">, </w:t>
            </w:r>
            <w:r>
              <w:rPr>
                <w:rFonts w:ascii="Courier New" w:hAnsi="Courier New"/>
                <w:color w:val="C7254E"/>
                <w:sz w:val="17"/>
              </w:rPr>
              <w:t>bloomberg_host</w:t>
            </w:r>
          </w:p>
        </w:tc>
      </w:tr>
    </w:tbl>
    <w:p w14:paraId="5863DE76" w14:textId="77777777" w:rsidR="008A18DA" w:rsidRDefault="008A18DA"/>
    <w:p w14:paraId="0A5A3CCC" w14:textId="77777777" w:rsidR="008A18DA" w:rsidRDefault="00000000">
      <w:pPr>
        <w:spacing w:before="40" w:after="80"/>
      </w:pPr>
      <w:r>
        <w:t xml:space="preserve">Environment variable overrides are supported for all connection parameters (DB, Bloomberg, Refinitiv) via </w:t>
      </w:r>
      <w:r>
        <w:rPr>
          <w:rFonts w:ascii="Courier New" w:hAnsi="Courier New"/>
        </w:rPr>
        <w:t>os.getenv()</w:t>
      </w:r>
      <w:r>
        <w:t>, enabling deployment without credential hardcoding.</w:t>
      </w:r>
    </w:p>
    <w:p w14:paraId="42DB0F1D" w14:textId="77777777" w:rsidR="008A18DA" w:rsidRDefault="00000000">
      <w:pPr>
        <w:pStyle w:val="Heading2"/>
      </w:pPr>
      <w:r>
        <w:t>11.5 Error Handling Architecture</w:t>
      </w:r>
    </w:p>
    <w:p w14:paraId="68DF9D6E" w14:textId="77777777" w:rsidR="008A18DA" w:rsidRDefault="00000000">
      <w:pPr>
        <w:spacing w:before="40" w:after="80"/>
      </w:pPr>
      <w:r>
        <w:t>All engines follow a consistent three-tier exception hierarchy:</w:t>
      </w:r>
    </w:p>
    <w:p w14:paraId="65A77341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BaseException</w:t>
      </w:r>
    </w:p>
    <w:p w14:paraId="63FD6CD6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 └── Exception</w:t>
      </w:r>
    </w:p>
    <w:p w14:paraId="0C4540FC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       ├── ValidationError  (FRTBValidationError, IMMValidationError, ...)</w:t>
      </w:r>
    </w:p>
    <w:p w14:paraId="57DAC4F5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       │     Raised for: invalid inputs, NaN/inf values, parameter out of range</w:t>
      </w:r>
    </w:p>
    <w:p w14:paraId="7EC2DACB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       │     Handler: caller catches, logs WARNING, rejects bad input</w:t>
      </w:r>
    </w:p>
    <w:p w14:paraId="14509E40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       │</w:t>
      </w:r>
    </w:p>
    <w:p w14:paraId="73D3C481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       ├── ConfigurationError  (FRTBConfigurationError, ...)</w:t>
      </w:r>
    </w:p>
    <w:p w14:paraId="1E267F1A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       │     Raised for: invalid config (correlations out of range, empty risk classes)</w:t>
      </w:r>
    </w:p>
    <w:p w14:paraId="45E6D40C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       │     Handler: caught at startup; prevents engine initialisation</w:t>
      </w:r>
    </w:p>
    <w:p w14:paraId="4361B4C3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       │</w:t>
      </w:r>
    </w:p>
    <w:p w14:paraId="166085F8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       └── CalculationError  (FRTBCalculationError, ...)</w:t>
      </w:r>
    </w:p>
    <w:p w14:paraId="10002881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             Raised for: NaN/inf produced during calculation (numerical instability)</w:t>
      </w:r>
    </w:p>
    <w:p w14:paraId="711E932F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             Handler: caught by orchestrator, logged at ERROR, run marked FAILED</w:t>
      </w:r>
    </w:p>
    <w:p w14:paraId="3D01665D" w14:textId="77777777" w:rsidR="008A18DA" w:rsidRDefault="008A18DA">
      <w:pPr>
        <w:spacing w:after="80"/>
      </w:pPr>
    </w:p>
    <w:p w14:paraId="79C0D406" w14:textId="77777777" w:rsidR="008A18DA" w:rsidRDefault="00000000">
      <w:pPr>
        <w:spacing w:before="40" w:after="80"/>
      </w:pPr>
      <w:r>
        <w:t>Graceful degradation:</w:t>
      </w:r>
    </w:p>
    <w:p w14:paraId="7592ED00" w14:textId="77777777" w:rsidR="008A18DA" w:rsidRDefault="00000000">
      <w:pPr>
        <w:pStyle w:val="ListBullet"/>
        <w:spacing w:before="20" w:after="40"/>
      </w:pPr>
      <w:r>
        <w:rPr>
          <w:b/>
          <w:color w:val="1E2A3A"/>
        </w:rPr>
        <w:t>Bloomberg/Refinitiv unavailable</w:t>
      </w:r>
      <w:r>
        <w:t xml:space="preserve"> → falls to next market data tier; logs WARNING</w:t>
      </w:r>
    </w:p>
    <w:p w14:paraId="209B1EC0" w14:textId="77777777" w:rsidR="008A18DA" w:rsidRDefault="00000000">
      <w:pPr>
        <w:pStyle w:val="ListBullet"/>
        <w:spacing w:before="20" w:after="40"/>
      </w:pPr>
      <w:r>
        <w:rPr>
          <w:b/>
          <w:color w:val="1E2A3A"/>
        </w:rPr>
        <w:t>FRED API unavailable</w:t>
      </w:r>
      <w:r>
        <w:t xml:space="preserve"> → uses hard-coded CVA defaults; logs WARNING</w:t>
      </w:r>
    </w:p>
    <w:p w14:paraId="79F76810" w14:textId="77777777" w:rsidR="008A18DA" w:rsidRDefault="00000000">
      <w:pPr>
        <w:pStyle w:val="ListBullet"/>
        <w:spacing w:before="20" w:after="40"/>
      </w:pPr>
      <w:r>
        <w:rPr>
          <w:b/>
          <w:color w:val="1E2A3A"/>
        </w:rPr>
        <w:t>IMM floor violated</w:t>
      </w:r>
      <w:r>
        <w:t xml:space="preserve"> → FALLBACK to SA-CCR; trace logged; run continues</w:t>
      </w:r>
    </w:p>
    <w:p w14:paraId="2360367C" w14:textId="77777777" w:rsidR="008A18DA" w:rsidRDefault="00000000">
      <w:pPr>
        <w:pStyle w:val="ListBullet"/>
        <w:spacing w:before="20" w:after="40"/>
      </w:pPr>
      <w:r>
        <w:rPr>
          <w:b/>
          <w:color w:val="1E2A3A"/>
        </w:rPr>
        <w:t>SA-CVA not approved</w:t>
      </w:r>
      <w:r>
        <w:t xml:space="preserve"> → BA-CVA used; trace logged; run continues</w:t>
      </w:r>
    </w:p>
    <w:p w14:paraId="3D16F283" w14:textId="77777777" w:rsidR="008A18DA" w:rsidRDefault="00000000">
      <w:pPr>
        <w:pStyle w:val="ListBullet"/>
        <w:spacing w:before="20" w:after="40"/>
      </w:pPr>
      <w:r>
        <w:rPr>
          <w:b/>
          <w:color w:val="1E2A3A"/>
        </w:rPr>
        <w:t>scipy.special.erfinv unavailable</w:t>
      </w:r>
      <w:r>
        <w:t xml:space="preserve"> → local polynomial approximation in </w:t>
      </w:r>
      <w:r>
        <w:rPr>
          <w:rFonts w:ascii="Courier New" w:hAnsi="Courier New"/>
          <w:color w:val="C7254E"/>
          <w:sz w:val="18"/>
        </w:rPr>
        <w:t>a_irb.py</w:t>
      </w:r>
    </w:p>
    <w:p w14:paraId="34625FA9" w14:textId="77777777" w:rsidR="008A18DA" w:rsidRDefault="00000000">
      <w:pPr>
        <w:pStyle w:val="Heading2"/>
      </w:pPr>
      <w:r>
        <w:t>11.6 Testing Architecture</w:t>
      </w:r>
    </w:p>
    <w:p w14:paraId="3CFCA897" w14:textId="77777777" w:rsidR="008A18DA" w:rsidRDefault="00000000">
      <w:pPr>
        <w:spacing w:before="40" w:after="80"/>
      </w:pPr>
      <w:r>
        <w:rPr>
          <w:b/>
        </w:rPr>
        <w:t>48 unit/integration tests</w:t>
      </w:r>
      <w:r>
        <w:t xml:space="preserve"> across </w:t>
      </w:r>
      <w:r>
        <w:rPr>
          <w:rFonts w:ascii="Courier New" w:hAnsi="Courier New"/>
        </w:rPr>
        <w:t>tests/test_engines.py</w:t>
      </w:r>
      <w:r>
        <w:t>, structured by engine: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A18DA" w14:paraId="36F2840C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1E2A3A"/>
            <w:vAlign w:val="center"/>
          </w:tcPr>
          <w:p w14:paraId="43DC8CA9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FFFFFF"/>
                <w:sz w:val="19"/>
              </w:rPr>
              <w:t>Test Group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1E2A3A"/>
            <w:vAlign w:val="center"/>
          </w:tcPr>
          <w:p w14:paraId="7F0D0722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FFFFFF"/>
                <w:sz w:val="19"/>
              </w:rPr>
              <w:t>Count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1E2A3A"/>
            <w:vAlign w:val="center"/>
          </w:tcPr>
          <w:p w14:paraId="31D79817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FFFFFF"/>
                <w:sz w:val="19"/>
              </w:rPr>
              <w:t>Coverage</w:t>
            </w:r>
          </w:p>
        </w:tc>
      </w:tr>
      <w:tr w:rsidR="008A18DA" w14:paraId="5180AAC8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10C08419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SA-CCR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44986E5A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12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26CE402C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RC, PFE multiplier, Add-Ons per asset class, EAD formula, IMM eligibility</w:t>
            </w:r>
          </w:p>
        </w:tc>
      </w:tr>
      <w:tr w:rsidR="008A18DA" w14:paraId="6EC24C45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5024897B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lastRenderedPageBreak/>
              <w:t>IMM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24BB10D2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8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378119A9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GBM paths, Hull-White paths, CSA adjustment, EEPE convergence, stressed EAD</w:t>
            </w:r>
          </w:p>
        </w:tc>
      </w:tr>
      <w:tr w:rsidR="008A18DA" w14:paraId="33434121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2EF4F824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A-IRB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06E04756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10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651D61F1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K formula, SME adjustment, double-default, EL shortfall, PD/LGD floors</w:t>
            </w:r>
          </w:p>
        </w:tc>
      </w:tr>
      <w:tr w:rsidR="008A18DA" w14:paraId="09955512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36265C04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FRTB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78A4D4CD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6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6684A406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SBM delta/vega/curvature, three-scenario framework, ES at 97.5%, DRC</w:t>
            </w:r>
          </w:p>
        </w:tc>
      </w:tr>
      <w:tr w:rsidR="008A18DA" w14:paraId="5FF7B0F2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40ED53AE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CVA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6BB00044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6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5A072A89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BA-CVA, SA-CVA, fallback logic, rho stress, FRED fallback</w:t>
            </w:r>
          </w:p>
        </w:tc>
      </w:tr>
      <w:tr w:rsidR="008A18DA" w14:paraId="19AA64BE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3C4C1253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CCP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4D67CEE5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4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227911BE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QCCP/non-QCCP, segregated IM, DFC simplified, unfunded</w:t>
            </w:r>
          </w:p>
        </w:tc>
      </w:tr>
      <w:tr w:rsidR="008A18DA" w14:paraId="70A8118B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38E781C6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Capital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246A5DFA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2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1FA3F984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Five-part formula, output floor</w:t>
            </w:r>
          </w:p>
        </w:tc>
      </w:tr>
      <w:tr w:rsidR="008A18DA" w14:paraId="31A29378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7AB60478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Total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33D65CEA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48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41B75772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100% pass rate</w:t>
            </w:r>
          </w:p>
        </w:tc>
      </w:tr>
    </w:tbl>
    <w:p w14:paraId="45004161" w14:textId="77777777" w:rsidR="008A18DA" w:rsidRDefault="008A18DA"/>
    <w:p w14:paraId="35D8F776" w14:textId="77777777" w:rsidR="008A18DA" w:rsidRDefault="00000000">
      <w:pPr>
        <w:pStyle w:val="Heading2"/>
      </w:pPr>
      <w:r>
        <w:t>11.7 Deployment Architecture</w:t>
      </w:r>
    </w:p>
    <w:p w14:paraId="5F9A3FCF" w14:textId="77777777" w:rsidR="008A18DA" w:rsidRDefault="00000000">
      <w:pPr>
        <w:spacing w:before="40" w:after="80"/>
      </w:pPr>
      <w:r>
        <w:rPr>
          <w:b/>
        </w:rPr>
        <w:t>Sprint A — Development (Current):</w:t>
      </w:r>
    </w:p>
    <w:p w14:paraId="3B8ECF27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MacBook Air M1 (8 GB RAM, macOS Ventura+)</w:t>
      </w:r>
    </w:p>
    <w:p w14:paraId="70ADD4AC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├── Python 3.11 (.venv at /Users/aaron/Documents/Project/Prometheus/.venv/)</w:t>
      </w:r>
    </w:p>
    <w:p w14:paraId="57C4AB97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├── PostgreSQL 15 (Docker arm64, localhost:5432)</w:t>
      </w:r>
    </w:p>
    <w:p w14:paraId="2EF7A948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│   └── Database: prometheus_risk | User: risk_admin</w:t>
      </w:r>
    </w:p>
    <w:p w14:paraId="6E25F86F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├── pgAdmin 4 (Docker, localhost:5050) — schema browser</w:t>
      </w:r>
    </w:p>
    <w:p w14:paraId="41B8ACE4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├── Streamlit 1.28 (localhost:8501) — dashboard</w:t>
      </w:r>
    </w:p>
    <w:p w14:paraId="64CD7653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└── pytest 7.4 — test suite</w:t>
      </w:r>
    </w:p>
    <w:p w14:paraId="394143A4" w14:textId="77777777" w:rsidR="008A18DA" w:rsidRDefault="008A18DA">
      <w:pPr>
        <w:spacing w:after="80"/>
      </w:pPr>
    </w:p>
    <w:p w14:paraId="17CCBD3A" w14:textId="77777777" w:rsidR="008A18DA" w:rsidRDefault="00000000">
      <w:pPr>
        <w:spacing w:before="40" w:after="80"/>
      </w:pPr>
      <w:r>
        <w:rPr>
          <w:b/>
        </w:rPr>
        <w:t>Sprint E / F — Production (Planned 2026):</w:t>
      </w:r>
    </w:p>
    <w:p w14:paraId="24841AF6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Azure / AWS Cloud</w:t>
      </w:r>
    </w:p>
    <w:p w14:paraId="7B0B0E61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├── Azure App Service (Python 3.11 backend, auto-scale)</w:t>
      </w:r>
    </w:p>
    <w:p w14:paraId="72339639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│   └── Trigger: Azure Scheduler (06:00 daily)</w:t>
      </w:r>
    </w:p>
    <w:p w14:paraId="4016F3A1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├── Azure Database for PostgreSQL (Flexible Server, Burstable B2ms)</w:t>
      </w:r>
    </w:p>
    <w:p w14:paraId="4B8D491F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│   └── Geo-redundant backup; TDE encryption at rest</w:t>
      </w:r>
    </w:p>
    <w:p w14:paraId="063AF7BE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├── Azure Key Vault — credentials (DB password, Bloomberg API key)</w:t>
      </w:r>
    </w:p>
    <w:p w14:paraId="1F3EE075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├── Application Insights — logging, performance monitoring, alerts</w:t>
      </w:r>
    </w:p>
    <w:p w14:paraId="4A35B754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├── Azure Blob Storage — report exports (xlsx/csv)</w:t>
      </w:r>
    </w:p>
    <w:p w14:paraId="09C6EEA8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└── Azure Front Door / Application Gateway — HTTPS load balancing</w:t>
      </w:r>
    </w:p>
    <w:p w14:paraId="2FBE4E0B" w14:textId="77777777" w:rsidR="008A18DA" w:rsidRDefault="008A18DA">
      <w:pPr>
        <w:spacing w:after="80"/>
      </w:pPr>
    </w:p>
    <w:p w14:paraId="32C4B983" w14:textId="77777777" w:rsidR="008A18DA" w:rsidRDefault="008A18DA">
      <w:pPr>
        <w:pBdr>
          <w:bottom w:val="single" w:sz="6" w:space="1" w:color="9B111E"/>
        </w:pBdr>
      </w:pPr>
    </w:p>
    <w:p w14:paraId="400DB54D" w14:textId="77777777" w:rsidR="008A18DA" w:rsidRDefault="008A18DA">
      <w:pPr>
        <w:pBdr>
          <w:bottom w:val="single" w:sz="6" w:space="1" w:color="9B111E"/>
        </w:pBdr>
      </w:pPr>
    </w:p>
    <w:p w14:paraId="68F11539" w14:textId="77777777" w:rsidR="008A18DA" w:rsidRDefault="00000000">
      <w:pPr>
        <w:pStyle w:val="Heading1"/>
      </w:pPr>
      <w:r>
        <w:t>12. APPENDIX</w:t>
      </w:r>
    </w:p>
    <w:p w14:paraId="03C82C23" w14:textId="77777777" w:rsidR="008A18DA" w:rsidRDefault="008A18DA">
      <w:pPr>
        <w:pBdr>
          <w:bottom w:val="single" w:sz="6" w:space="1" w:color="9B111E"/>
        </w:pBdr>
      </w:pPr>
    </w:p>
    <w:p w14:paraId="3151FAEE" w14:textId="77777777" w:rsidR="008A18DA" w:rsidRDefault="00000000">
      <w:pPr>
        <w:pStyle w:val="Heading2"/>
      </w:pPr>
      <w:r>
        <w:t>Appendix A — Regulatory Standards Reference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A18DA" w14:paraId="1B57E277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1E2A3A"/>
            <w:vAlign w:val="center"/>
          </w:tcPr>
          <w:p w14:paraId="3114497D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FFFFFF"/>
                <w:sz w:val="19"/>
              </w:rPr>
              <w:t>Standard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1E2A3A"/>
            <w:vAlign w:val="center"/>
          </w:tcPr>
          <w:p w14:paraId="72540FC2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FFFFFF"/>
                <w:sz w:val="19"/>
              </w:rPr>
              <w:t>Full Name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1E2A3A"/>
            <w:vAlign w:val="center"/>
          </w:tcPr>
          <w:p w14:paraId="1DED6D08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FFFFFF"/>
                <w:sz w:val="19"/>
              </w:rPr>
              <w:t>Basel Publication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1E2A3A"/>
            <w:vAlign w:val="center"/>
          </w:tcPr>
          <w:p w14:paraId="387C806F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FFFFFF"/>
                <w:sz w:val="19"/>
              </w:rPr>
              <w:t>PROMETHEUS Engine</w:t>
            </w:r>
          </w:p>
        </w:tc>
      </w:tr>
      <w:tr w:rsidR="008A18DA" w14:paraId="588A7AEC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1597B54B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lastRenderedPageBreak/>
              <w:t>CRE30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7812AB5A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Credit Risk — Scope of IRB Approach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7F4482DE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BIS April 2019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025D8380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A-IRB engine</w:t>
            </w:r>
          </w:p>
        </w:tc>
      </w:tr>
      <w:tr w:rsidR="008A18DA" w14:paraId="093B6624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539A9D22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CRE31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6D8AF352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Credit Risk — IRB Risk Weight Functions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06A5860E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BIS April 2019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171484E8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A-IRB engine</w:t>
            </w:r>
          </w:p>
        </w:tc>
      </w:tr>
      <w:tr w:rsidR="008A18DA" w14:paraId="5667959F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46CA2CD9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CRE32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55275C65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Credit Risk — IRB Collateral / LGD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6210672E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BIS April 2019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2A533D68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A-IRB engine</w:t>
            </w:r>
          </w:p>
        </w:tc>
      </w:tr>
      <w:tr w:rsidR="008A18DA" w14:paraId="3A708FF2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5EE3E29B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CRE35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67793916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Credit Risk — IRB Expected Loss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308FE699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BIS April 2019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1B8E3AC0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A-IRB engine</w:t>
            </w:r>
          </w:p>
        </w:tc>
      </w:tr>
      <w:tr w:rsidR="008A18DA" w14:paraId="4A64C8AD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0B4F1999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CRE36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7495BE86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Credit Risk — IRB Minimum PD requirements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2FBB0082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BIS April 2019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340F4F5F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A-IRB engine</w:t>
            </w:r>
          </w:p>
        </w:tc>
      </w:tr>
      <w:tr w:rsidR="008A18DA" w14:paraId="6A1C1B2A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17737489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CRE51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434A5D86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Counterparty Credit Risk — Overview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16F2A889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BIS June 2019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763854DA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SA-CCR / IMM</w:t>
            </w:r>
          </w:p>
        </w:tc>
      </w:tr>
      <w:tr w:rsidR="008A18DA" w14:paraId="145D1C12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534B10B8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CRE52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01CD435B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CCR — Standardised Approach (SA-CCR)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3A9DABBD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BIS June 2019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4DD2358C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SA-CCR engine</w:t>
            </w:r>
          </w:p>
        </w:tc>
      </w:tr>
      <w:tr w:rsidR="008A18DA" w14:paraId="5016B6C4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530A9AB5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CRE53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58DDE61F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CCR — Internal Models Method (IMM)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53D22155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BIS June 2019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3F558D33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IMM engine</w:t>
            </w:r>
          </w:p>
        </w:tc>
      </w:tr>
      <w:tr w:rsidR="008A18DA" w14:paraId="6DBEA7C6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126E63DC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CRE54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2FF99C8E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CCR — Central Counterparty (CCP)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15F7BED1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BIS June 2019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5C60197D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CCP engine</w:t>
            </w:r>
          </w:p>
        </w:tc>
      </w:tr>
      <w:tr w:rsidR="008A18DA" w14:paraId="2184428C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46374F31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MAR10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52E5D2CE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Market Risk — Overview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55D51807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BIS Jan 2019 (rev.)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6B07B3A9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FRTB engine</w:t>
            </w:r>
          </w:p>
        </w:tc>
      </w:tr>
      <w:tr w:rsidR="008A18DA" w14:paraId="3C304BAF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69F9BAC4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MAR20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2C7EDD1A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Market Risk — Boundary and transfer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19F4F781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BIS Jan 2019 (rev.)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65C7C729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FRTB engine</w:t>
            </w:r>
          </w:p>
        </w:tc>
      </w:tr>
      <w:tr w:rsidR="008A18DA" w14:paraId="4061139F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23D43F9C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MAR21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2098FEA5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Market Risk — SBM Delta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286DB18C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BIS Jan 2019 (rev.)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134104C7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FRTB SBM</w:t>
            </w:r>
          </w:p>
        </w:tc>
      </w:tr>
      <w:tr w:rsidR="008A18DA" w14:paraId="0946071C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673A7F9E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MAR22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4A3ECDD4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Market Risk — Default Risk Charge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666B1A66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BIS Jan 2019 (rev.)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35E0B9D6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FRTB DRC</w:t>
            </w:r>
          </w:p>
        </w:tc>
      </w:tr>
      <w:tr w:rsidR="008A18DA" w14:paraId="45AAAEC2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5E8B71C5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MAR23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2698800A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Market Risk — Residual Risk Add-On (RRAO)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4374C192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BIS Jan 2019 (rev.)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7132D1E2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FRTB RRAO</w:t>
            </w:r>
          </w:p>
        </w:tc>
      </w:tr>
      <w:tr w:rsidR="008A18DA" w14:paraId="0699E0DE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3FFF1248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MAR31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376D2AC6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Market Risk — NMRF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720EC6DE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BIS Jan 2019 (rev.)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3BF023CA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FRTB NMRF</w:t>
            </w:r>
          </w:p>
        </w:tc>
      </w:tr>
      <w:tr w:rsidR="008A18DA" w14:paraId="2F90407D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58544803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MAR32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345B911A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Market Risk — PLA Test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37DA6F82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BIS Jan 2019 (rev.)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51F498A1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BacktestEngine</w:t>
            </w:r>
          </w:p>
        </w:tc>
      </w:tr>
      <w:tr w:rsidR="008A18DA" w14:paraId="4767A216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4C06D9BF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MAR33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3DDC422A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Market Risk — IMA (ES)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45E30D90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BIS Jan 2019 (rev.)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328C3204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FRTB IMA</w:t>
            </w:r>
          </w:p>
        </w:tc>
      </w:tr>
      <w:tr w:rsidR="008A18DA" w14:paraId="0B9CCB58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6DC20FA3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MAR50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48DEE4C3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CVA Risk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29FAF31E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BIS June 2019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1B4D9D6B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CVA engine</w:t>
            </w:r>
          </w:p>
        </w:tc>
      </w:tr>
      <w:tr w:rsidR="008A18DA" w14:paraId="19DEECEB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1931AEA9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MAR99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22064C02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Market Risk — Backtesting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669EAE8F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BIS Jan 2019 (rev.)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709B88E0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BacktestEngine</w:t>
            </w:r>
          </w:p>
        </w:tc>
      </w:tr>
      <w:tr w:rsidR="008A18DA" w14:paraId="7B2787D5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1833AA4C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RBC20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1118DE8F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Risk-Based Capital — Overview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021EC93A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BIS June 2019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721A6F2A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PrometheusRunner</w:t>
            </w:r>
          </w:p>
        </w:tc>
      </w:tr>
      <w:tr w:rsidR="008A18DA" w14:paraId="3127F8FD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3692E499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RBC25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3C58A2EA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Capital — Limits and Minima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2F6EC2FA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BIS June 2019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473AADBD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PrometheusRunner</w:t>
            </w:r>
          </w:p>
        </w:tc>
      </w:tr>
      <w:tr w:rsidR="008A18DA" w14:paraId="45BD6721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6587C6C4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CAP10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24E14AA3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Capital Adequacy — Output Floor FAQ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71F9053C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BIS 2019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794ACD93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Output floor logic</w:t>
            </w:r>
          </w:p>
        </w:tc>
      </w:tr>
      <w:tr w:rsidR="008A18DA" w14:paraId="3B67D3AE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0E2A3808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OPE25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04B4329F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Operational Risk — Standardised Approach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1006BB95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BIS June 2019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6D56F0FC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Stub (Sprint E)</w:t>
            </w:r>
          </w:p>
        </w:tc>
      </w:tr>
      <w:tr w:rsidR="008A18DA" w14:paraId="1BC5790A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193095DA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MGN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77F1854A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Margin Requirements for Non-Centrally Cleared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07935176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BIS 2019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39A8CCCC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CSA terms in IMM</w:t>
            </w:r>
          </w:p>
        </w:tc>
      </w:tr>
    </w:tbl>
    <w:p w14:paraId="01C140B0" w14:textId="77777777" w:rsidR="008A18DA" w:rsidRDefault="008A18DA"/>
    <w:p w14:paraId="6DDB616C" w14:textId="77777777" w:rsidR="008A18DA" w:rsidRDefault="008A18DA">
      <w:pPr>
        <w:pBdr>
          <w:bottom w:val="single" w:sz="6" w:space="1" w:color="9B111E"/>
        </w:pBdr>
      </w:pPr>
    </w:p>
    <w:p w14:paraId="14356300" w14:textId="77777777" w:rsidR="008A18DA" w:rsidRDefault="00000000">
      <w:pPr>
        <w:pStyle w:val="Heading2"/>
      </w:pPr>
      <w:r>
        <w:lastRenderedPageBreak/>
        <w:t>Appendix B — Key Regulatory Formulas</w:t>
      </w:r>
    </w:p>
    <w:p w14:paraId="5F23BDA8" w14:textId="77777777" w:rsidR="008A18DA" w:rsidRDefault="00000000">
      <w:pPr>
        <w:pStyle w:val="Heading3"/>
      </w:pPr>
      <w:r>
        <w:t>B.1 SA-CCR EAD (CRE52)</w:t>
      </w:r>
    </w:p>
    <w:p w14:paraId="792FBAE2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$$\text{EAD} = 1.4 \times \left[\max(V - C,\; TH + MTA - NICA,\; 0) + \text{mult} \times \text{AddOn}_\text{agg}\right]$$</w:t>
      </w:r>
    </w:p>
    <w:p w14:paraId="37215CAC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$$\text{mult} = \min\!\left(1,\; 0.05 + 0.95 \times e^{\frac{V}{1.9 \times \text{AddOn}_\text{agg}}}\right)$$</w:t>
      </w:r>
    </w:p>
    <w:p w14:paraId="15ED13F8" w14:textId="77777777" w:rsidR="008A18DA" w:rsidRDefault="00000000">
      <w:pPr>
        <w:pStyle w:val="Heading3"/>
      </w:pPr>
      <w:r>
        <w:t>B.2 A-IRB Capital Requirement (CRE31)</w:t>
      </w:r>
    </w:p>
    <w:p w14:paraId="4323D0A2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$$K = \left[LGD \cdot \Phi\!\left(\frac{\Phi^{-1}(PD) + \sqrt{R}\,\Phi^{-1}(0.999)}{\sqrt{1-R}}\right) - PD \cdot LGD\right] \times \frac{1 + (M-2.5)b}{1-1.5b}$$</w:t>
      </w:r>
    </w:p>
    <w:p w14:paraId="5007B1E4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$$R = \frac{0.12(1-e^{-50PD})}{1-e^{-50}} + \frac{0.24[1-(1-e^{-50PD})/(1-e^{-50})]}{1}$$</w:t>
      </w:r>
    </w:p>
    <w:p w14:paraId="524045E7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$$b = (0.11852 - 0.05478\ln PD)^2$$</w:t>
      </w:r>
    </w:p>
    <w:p w14:paraId="06C6931A" w14:textId="77777777" w:rsidR="008A18DA" w:rsidRDefault="00000000">
      <w:pPr>
        <w:pStyle w:val="Heading3"/>
      </w:pPr>
      <w:r>
        <w:t>B.3 FRTB SBM Delta (MAR21)</w:t>
      </w:r>
    </w:p>
    <w:p w14:paraId="0B05FA4E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$$K_b = \sqrt{\sum_k WS_k^2 + \sum_{k\neq l}\rho_{kl}\cdot WS_k\cdot WS_l}$$</w:t>
      </w:r>
    </w:p>
    <w:p w14:paraId="7F603C1A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$$\Delta = \max\!\left(\sqrt{\sum_b K_b^2 + \sum_{b\neq c}\gamma_{bc}K_bK_c},\; \sum_k|WS_k|\right)$$</w:t>
      </w:r>
    </w:p>
    <w:p w14:paraId="29EEB35F" w14:textId="77777777" w:rsidR="008A18DA" w:rsidRDefault="00000000">
      <w:pPr>
        <w:pStyle w:val="Heading3"/>
      </w:pPr>
      <w:r>
        <w:t>B.4 IMM EEPE (CRE53)</w:t>
      </w:r>
    </w:p>
    <w:p w14:paraId="45641C01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$$\text{EEE}(t_k) = \max\left(\text{EEE}(t_{k-1}),\; \text{EE}(t_k)\right)$$</w:t>
      </w:r>
    </w:p>
    <w:p w14:paraId="2C9319B2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$$\text{EEPE} = \frac{1}{T}\sum_{k=1}^{T}\text{EEE}(t_k)$$</w:t>
      </w:r>
    </w:p>
    <w:p w14:paraId="224D9882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$$\text{EAD}_\text{IMM} = 1.4 \times \text{EEPE}$$</w:t>
      </w:r>
    </w:p>
    <w:p w14:paraId="15E07AB6" w14:textId="77777777" w:rsidR="008A18DA" w:rsidRDefault="00000000">
      <w:pPr>
        <w:pStyle w:val="Heading3"/>
      </w:pPr>
      <w:r>
        <w:t>B.5 Five-Part RWA Formula (RBC20.9)</w:t>
      </w:r>
    </w:p>
    <w:p w14:paraId="5FD05688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$$\text{Total RWA} = \text{RWA}_\text{Cr} + \text{RWA}_\text{CCR} + \text{RWA}_\text{Mkt} + \text{RWA}_\text{CVA} + \text{RWA}_\text{CCP} + \text{RWA}_\text{OpRisk}$$</w:t>
      </w:r>
    </w:p>
    <w:p w14:paraId="56948502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$$\text{SA Base} = \text{RWA}_\text{Cr,SA} + \text{RWA}_\text{CCR,SA} + \text{RWA}_\text{Mkt,SA} + \text{RWA}_\text{CCP,SA}$$</w:t>
      </w:r>
    </w:p>
    <w:p w14:paraId="1ABF8342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$$\text{Final RWA} = \max\!\left(\text{Total RWA},\; 0.725 \times \text{SA Base}\right)$$</w:t>
      </w:r>
    </w:p>
    <w:p w14:paraId="401B332C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$$\text{Capital} = \text{Final RWA} \times 8\%$$</w:t>
      </w:r>
    </w:p>
    <w:p w14:paraId="6E8701AA" w14:textId="77777777" w:rsidR="008A18DA" w:rsidRDefault="008A18DA">
      <w:pPr>
        <w:pBdr>
          <w:bottom w:val="single" w:sz="6" w:space="1" w:color="9B111E"/>
        </w:pBdr>
      </w:pPr>
    </w:p>
    <w:p w14:paraId="4C57B910" w14:textId="77777777" w:rsidR="008A18DA" w:rsidRDefault="00000000">
      <w:pPr>
        <w:pStyle w:val="Heading2"/>
      </w:pPr>
      <w:r>
        <w:t>Appendix C — File Structure</w:t>
      </w:r>
    </w:p>
    <w:p w14:paraId="5C6380A3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PROMETHEUS/</w:t>
      </w:r>
    </w:p>
    <w:p w14:paraId="704AE7A5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├── PROMETHEUS_FSD.md              ← This document</w:t>
      </w:r>
    </w:p>
    <w:p w14:paraId="04A59D81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├── PROMETHEUS_BRD.md              ← Business Requirements Document</w:t>
      </w:r>
    </w:p>
    <w:p w14:paraId="60981B61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├── README.md                      ← Quick start and overview</w:t>
      </w:r>
    </w:p>
    <w:p w14:paraId="465F36F3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├── requirements.txt               ← Python dependencies</w:t>
      </w:r>
    </w:p>
    <w:p w14:paraId="4DCBD288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├── setup.sh                       ← One-shot environment setup</w:t>
      </w:r>
    </w:p>
    <w:p w14:paraId="1F588579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├── run_dashboard.sh               ← Dashboard launcher (Streamlit)</w:t>
      </w:r>
    </w:p>
    <w:p w14:paraId="2205332C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├── run_engine.sh                  ← CLI risk run launcher</w:t>
      </w:r>
    </w:p>
    <w:p w14:paraId="3C88EC03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├── run_tests.sh                   ← Test suite executor</w:t>
      </w:r>
    </w:p>
    <w:p w14:paraId="6BD2FE70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│</w:t>
      </w:r>
    </w:p>
    <w:p w14:paraId="1877F63E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├── docker/</w:t>
      </w:r>
    </w:p>
    <w:p w14:paraId="4D2E5D0C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│   ├── docker-compose.yml         ← PostgreSQL 15 + pgAdmin 4 (arm64)</w:t>
      </w:r>
    </w:p>
    <w:p w14:paraId="06B47BDD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│   └── init.sql                   ← Database schema initialisation (17 tables)</w:t>
      </w:r>
    </w:p>
    <w:p w14:paraId="55009358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│</w:t>
      </w:r>
    </w:p>
    <w:p w14:paraId="12216A71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├── backend/</w:t>
      </w:r>
    </w:p>
    <w:p w14:paraId="26FD31DE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│   ├── config.py                  ← Regulatory parameter configuration</w:t>
      </w:r>
    </w:p>
    <w:p w14:paraId="5A6EC9B2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│   ├── main.py                    ← PrometheusRunner orchestrator (458 lines)</w:t>
      </w:r>
    </w:p>
    <w:p w14:paraId="673C8668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│   │</w:t>
      </w:r>
    </w:p>
    <w:p w14:paraId="17FD2E55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lastRenderedPageBreak/>
        <w:t>│   ├── engines/</w:t>
      </w:r>
    </w:p>
    <w:p w14:paraId="66E73198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│   │   ├── sa_ccr.py              ← SA-CCR (CRE52) — 459 lines</w:t>
      </w:r>
    </w:p>
    <w:p w14:paraId="4E666F55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│   │   ├── imm.py                 ← IMM / Monte Carlo (CRE53) — 1,489 lines</w:t>
      </w:r>
    </w:p>
    <w:p w14:paraId="4AC9E4EC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│   │   ├── a_irb.py               ← A-IRB (CRE30–36) — 1,249 lines</w:t>
      </w:r>
    </w:p>
    <w:p w14:paraId="3E6011CB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│   │   ├── frtb.py                ← FRTB (MAR20–33) — 1,710 lines</w:t>
      </w:r>
    </w:p>
    <w:p w14:paraId="06976D58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│   │   ├── cva.py                 ← CVA Risk (MAR50) — 646 lines</w:t>
      </w:r>
    </w:p>
    <w:p w14:paraId="7A4A7F37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│   │   └── ccp.py                 ← CCP (CRE54) — ~100 lines</w:t>
      </w:r>
    </w:p>
    <w:p w14:paraId="16FF4E4E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│   │</w:t>
      </w:r>
    </w:p>
    <w:p w14:paraId="5B6BBA69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│   ├── data_generators/</w:t>
      </w:r>
    </w:p>
    <w:p w14:paraId="4EDB3133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│   │   ├── portfolio_generator.py ← Synthetic derivative and banking book portfolios</w:t>
      </w:r>
    </w:p>
    <w:p w14:paraId="49FB5050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│   │   └── cva_generator.py       ← CVA counterparty inputs and CCP exposures</w:t>
      </w:r>
    </w:p>
    <w:p w14:paraId="4944DE49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│   │</w:t>
      </w:r>
    </w:p>
    <w:p w14:paraId="72106C76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│   └── data_sources/</w:t>
      </w:r>
    </w:p>
    <w:p w14:paraId="7B1DD1D1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│       ├── market_data_provider.py ← Abstract + Bloomberg/Refinitiv/Internal/Static providers</w:t>
      </w:r>
    </w:p>
    <w:p w14:paraId="42072ECB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│       ├── cds_spread_service.py   ← CDS spread service with fallback and caching</w:t>
      </w:r>
    </w:p>
    <w:p w14:paraId="289B02EE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│       ├── market_state.py         ← Market state management</w:t>
      </w:r>
    </w:p>
    <w:p w14:paraId="5DCC2E7D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│       ├── calibration.py          ← Historical volatility calibration module</w:t>
      </w:r>
    </w:p>
    <w:p w14:paraId="7D205CEE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│       └── persistence.py          ← PostgreSQL schema creation and result persistence</w:t>
      </w:r>
    </w:p>
    <w:p w14:paraId="5D9A0966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│</w:t>
      </w:r>
    </w:p>
    <w:p w14:paraId="79678051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├── dashboard/</w:t>
      </w:r>
    </w:p>
    <w:p w14:paraId="12B2A3B5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│   └── app.py                     ← Streamlit dashboard — 8 pages (844 lines)</w:t>
      </w:r>
    </w:p>
    <w:p w14:paraId="6A3F0907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│</w:t>
      </w:r>
    </w:p>
    <w:p w14:paraId="0F4A4D2E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├── tests/</w:t>
      </w:r>
    </w:p>
    <w:p w14:paraId="307F85F3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│   └── test_engines.py            ← 48 validation tests</w:t>
      </w:r>
    </w:p>
    <w:p w14:paraId="27428383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│</w:t>
      </w:r>
    </w:p>
    <w:p w14:paraId="3DBBEFF6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>└── docs/</w:t>
      </w:r>
    </w:p>
    <w:p w14:paraId="6DF1931F" w14:textId="77777777" w:rsidR="008A18DA" w:rsidRDefault="00000000">
      <w:pPr>
        <w:shd w:val="clear" w:color="auto" w:fill="F4F4F4"/>
        <w:spacing w:after="0"/>
        <w:ind w:left="432"/>
      </w:pPr>
      <w:r>
        <w:rPr>
          <w:rFonts w:ascii="Courier New" w:hAnsi="Courier New"/>
          <w:color w:val="2D2D2D"/>
          <w:sz w:val="17"/>
        </w:rPr>
        <w:t xml:space="preserve">    └── MARKET_DATA_ARCHITECTURE.md ← Market data provider architecture guide</w:t>
      </w:r>
    </w:p>
    <w:p w14:paraId="67A5F589" w14:textId="77777777" w:rsidR="008A18DA" w:rsidRDefault="008A18DA">
      <w:pPr>
        <w:spacing w:after="80"/>
      </w:pPr>
    </w:p>
    <w:p w14:paraId="64C96A8D" w14:textId="77777777" w:rsidR="008A18DA" w:rsidRDefault="008A18DA">
      <w:pPr>
        <w:pBdr>
          <w:bottom w:val="single" w:sz="6" w:space="1" w:color="9B111E"/>
        </w:pBdr>
      </w:pPr>
    </w:p>
    <w:p w14:paraId="1E097EA3" w14:textId="77777777" w:rsidR="008A18DA" w:rsidRDefault="00000000">
      <w:pPr>
        <w:pStyle w:val="Heading2"/>
      </w:pPr>
      <w:r>
        <w:t>Appendix D — Glossary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A18DA" w14:paraId="2C968383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1E2A3A"/>
            <w:vAlign w:val="center"/>
          </w:tcPr>
          <w:p w14:paraId="6D4BFDC4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FFFFFF"/>
                <w:sz w:val="19"/>
              </w:rPr>
              <w:t>Term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1E2A3A"/>
            <w:vAlign w:val="center"/>
          </w:tcPr>
          <w:p w14:paraId="17533E25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FFFFFF"/>
                <w:sz w:val="19"/>
              </w:rPr>
              <w:t>Full Form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1E2A3A"/>
            <w:vAlign w:val="center"/>
          </w:tcPr>
          <w:p w14:paraId="6F83C12B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FFFFFF"/>
                <w:sz w:val="19"/>
              </w:rPr>
              <w:t>Definition</w:t>
            </w:r>
          </w:p>
        </w:tc>
      </w:tr>
      <w:tr w:rsidR="008A18DA" w14:paraId="3DB6C53E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253FF9DB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A-IRB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2261020E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Advanced Internal Ratings-Based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7E988F1A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Credit risk approach using bank's own PD, LGD, EAD estimates</w:t>
            </w:r>
          </w:p>
        </w:tc>
      </w:tr>
      <w:tr w:rsidR="008A18DA" w14:paraId="56CC13A6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27B9AB79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ASRF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18F41388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Asymptotic Single Risk Factor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669E0253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Theoretical model underpinning IRB; single systematic risk factor</w:t>
            </w:r>
          </w:p>
        </w:tc>
      </w:tr>
      <w:tr w:rsidR="008A18DA" w14:paraId="4A8E972F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6E1ABDEA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BA-CVA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12F4A875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Basic Approach — CVA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4EEF39F0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Simpler CVA capital approach; always available as fallback</w:t>
            </w:r>
          </w:p>
        </w:tc>
      </w:tr>
      <w:tr w:rsidR="008A18DA" w14:paraId="30DD32EA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5B4ACE99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BCBS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5FE4AC55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Basel Committee on Banking Supervision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62B4102B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BIS committee that issues Basel standards</w:t>
            </w:r>
          </w:p>
        </w:tc>
      </w:tr>
      <w:tr w:rsidR="008A18DA" w14:paraId="4F4B8687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30F70710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BIS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0FD6B24E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Bank for International Settlements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3A83045F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Host institution for BCBS; publisher of Basel standards</w:t>
            </w:r>
          </w:p>
        </w:tc>
      </w:tr>
      <w:tr w:rsidR="008A18DA" w14:paraId="57DF905B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1F74D6F7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CCP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6067871D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Central Counterparty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7EB74503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Clearing house that interposes itself between buyer and seller</w:t>
            </w:r>
          </w:p>
        </w:tc>
      </w:tr>
      <w:tr w:rsidR="008A18DA" w14:paraId="2E10EF57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36B1CE19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CCR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5E3C6328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Counterparty Credit Risk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4DB4D9B6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Risk of loss if a derivatives counterparty defaults</w:t>
            </w:r>
          </w:p>
        </w:tc>
      </w:tr>
      <w:tr w:rsidR="008A18DA" w14:paraId="2EBBC50B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5ABA9660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CET1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4327BC70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Common Equity Tier 1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6674ED2D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Highest quality regulatory capital (ordinary shares + retained earnings)</w:t>
            </w:r>
          </w:p>
        </w:tc>
      </w:tr>
      <w:tr w:rsidR="008A18DA" w14:paraId="665937AB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74830DD6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CSA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62B6B896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Credit Support Annex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16D43746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 xml:space="preserve">Bilateral collateral agreement attached to ISDA Master </w:t>
            </w:r>
            <w:r>
              <w:rPr>
                <w:sz w:val="19"/>
              </w:rPr>
              <w:lastRenderedPageBreak/>
              <w:t>Agreement</w:t>
            </w:r>
          </w:p>
        </w:tc>
      </w:tr>
      <w:tr w:rsidR="008A18DA" w14:paraId="516F941C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07B980A7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lastRenderedPageBreak/>
              <w:t>CVA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72893EDD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Credit Valuation Adjustment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163D86F8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MTM adjustment for counterparty default risk on derivatives</w:t>
            </w:r>
          </w:p>
        </w:tc>
      </w:tr>
      <w:tr w:rsidR="008A18DA" w14:paraId="5C6CE6F5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4091E2F8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DFC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37BD140B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Default Fund Contribution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6BB6BC91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Bank's prefunded contribution to CCP default waterfall</w:t>
            </w:r>
          </w:p>
        </w:tc>
      </w:tr>
      <w:tr w:rsidR="008A18DA" w14:paraId="53616079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58E52E94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DRC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6B38BAFB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Default Risk Charge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7A6A1981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FRTB capital for jump-to-default risk in trading book</w:t>
            </w:r>
          </w:p>
        </w:tc>
      </w:tr>
      <w:tr w:rsidR="008A18DA" w14:paraId="7A095E8B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59BEF07A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EAD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0D1C4F17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Exposure at Default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1212E5DF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Expected exposure amount at time of counterparty default</w:t>
            </w:r>
          </w:p>
        </w:tc>
      </w:tr>
      <w:tr w:rsidR="008A18DA" w14:paraId="099901D0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547D0616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EE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5B5F631E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Expected Exposure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756A49AA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Scenario-average positive exposure at a future date</w:t>
            </w:r>
          </w:p>
        </w:tc>
      </w:tr>
      <w:tr w:rsidR="008A18DA" w14:paraId="6DBDB7C2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4DE73033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EEPE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3930F1BD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Effective Expected Positive Exposure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25B6B801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Non-decreasing average EE over the first year; IMM regulatory metric</w:t>
            </w:r>
          </w:p>
        </w:tc>
      </w:tr>
      <w:tr w:rsidR="008A18DA" w14:paraId="5308E044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223F6C90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EL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7634971E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Expected Loss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5A964CB0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PD × LGD × EAD; expected average annual credit loss</w:t>
            </w:r>
          </w:p>
        </w:tc>
      </w:tr>
      <w:tr w:rsidR="008A18DA" w14:paraId="5CE3AED2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169072DD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EPE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3E9339D0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Expected Positive Exposure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311DBCE0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Average of positive exposures across scenarios and time</w:t>
            </w:r>
          </w:p>
        </w:tc>
      </w:tr>
      <w:tr w:rsidR="008A18DA" w14:paraId="58F5CA45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25B69924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ES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691DAE4D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Expected Shortfall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32B4B0F7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Average loss in the tail beyond VaR; used at 97.5% in FRTB IMA</w:t>
            </w:r>
          </w:p>
        </w:tc>
      </w:tr>
      <w:tr w:rsidR="008A18DA" w14:paraId="2E51DCA9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685DB166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FRTB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6D6B8B51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Fundamental Review of the Trading Book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51CC8687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Basel IV market risk framework replacing pre-2016 IMA/SA</w:t>
            </w:r>
          </w:p>
        </w:tc>
      </w:tr>
      <w:tr w:rsidR="008A18DA" w14:paraId="3BDEBE24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158AFD4A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GBM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1023B4B6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Geometric Brownian Motion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44D85FC4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Stochastic process for equity and FX in IMM simulation</w:t>
            </w:r>
          </w:p>
        </w:tc>
      </w:tr>
      <w:tr w:rsidR="008A18DA" w14:paraId="674EAEE1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6B31400B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GIRR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5B72E573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General Interest Rate Risk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61D94591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FRTB risk class for parallel and non-parallel rate shifts</w:t>
            </w:r>
          </w:p>
        </w:tc>
      </w:tr>
      <w:tr w:rsidR="008A18DA" w14:paraId="2B2AB4AA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5097DA75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HPL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6CA4A9D8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Hypothetical P&amp;L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0414C087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Sensitivity-based P&amp;L recomputation; used in FRTB PLA test</w:t>
            </w:r>
          </w:p>
        </w:tc>
      </w:tr>
      <w:tr w:rsidR="008A18DA" w14:paraId="3509488A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2061AB63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ICAAP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5DF8AF55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Internal Capital Adequacy Assessment Process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286B3CD4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Bank's own assessment of capital needed beyond Pillar 1 minimum</w:t>
            </w:r>
          </w:p>
        </w:tc>
      </w:tr>
      <w:tr w:rsidR="008A18DA" w14:paraId="2C21597E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4030A076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IMA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2488AFE7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Internal Models Approach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2AD0ED03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FRTB approach using bank's own ES model (requires supervisory approval)</w:t>
            </w:r>
          </w:p>
        </w:tc>
      </w:tr>
      <w:tr w:rsidR="008A18DA" w14:paraId="500FA0C0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1673029B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IMM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5537A0E4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Internal Models Method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52242797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CRE53 approach for CCR EAD using Monte Carlo simulation</w:t>
            </w:r>
          </w:p>
        </w:tc>
      </w:tr>
      <w:tr w:rsidR="008A18DA" w14:paraId="528DC397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0296B7E0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IM / VM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6B18C2D8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Initial Margin / Variation Margin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2FF7DAB3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Upfront / daily collateral posted under CSA</w:t>
            </w:r>
          </w:p>
        </w:tc>
      </w:tr>
      <w:tr w:rsidR="008A18DA" w14:paraId="48E059A0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23956B66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KS test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3645DEFA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Kolmogorov-Smirnov test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3187FC21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Non-parametric test comparing two distributions; used in FRTB PLA</w:t>
            </w:r>
          </w:p>
        </w:tc>
      </w:tr>
      <w:tr w:rsidR="008A18DA" w14:paraId="46667FA2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61DB2E95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LGD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3096F3B4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Loss Given Default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2A10179C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Fraction of EAD lost upon counterparty default (1 − Recovery Rate)</w:t>
            </w:r>
          </w:p>
        </w:tc>
      </w:tr>
      <w:tr w:rsidR="008A18DA" w14:paraId="0AA66BE7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653B3A06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LH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2C2DDFA8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Liquidity Horizon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76EA03F3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Time to liquidate/hedge a position; determines ES scaling in IMA</w:t>
            </w:r>
          </w:p>
        </w:tc>
      </w:tr>
      <w:tr w:rsidR="008A18DA" w14:paraId="5396870C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2D8642AD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MAF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12B8C4D0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Maturity Adjustment Factor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55630A7F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Scaling factor in SA-CCR maturity factor; scales Add-On by √(time)</w:t>
            </w:r>
          </w:p>
        </w:tc>
      </w:tr>
      <w:tr w:rsidR="008A18DA" w14:paraId="695221ED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50C7BA30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lastRenderedPageBreak/>
              <w:t>MPOR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193EB3AF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Margin Period of Risk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157FF7CD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Days from last margin receipt to portfolio replacement after default</w:t>
            </w:r>
          </w:p>
        </w:tc>
      </w:tr>
      <w:tr w:rsidR="008A18DA" w14:paraId="0DD9825D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0EEC729E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MTM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1FF5D1FF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Mark-to-Market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3485D8C3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Current fair value of a financial instrument</w:t>
            </w:r>
          </w:p>
        </w:tc>
      </w:tr>
      <w:tr w:rsidR="008A18DA" w14:paraId="12BD26CC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6C6AF53C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MTA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5E4EFBA0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Minimum Transfer Amount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17181A7F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Smallest collateral transfer increment under CSA</w:t>
            </w:r>
          </w:p>
        </w:tc>
      </w:tr>
      <w:tr w:rsidR="008A18DA" w14:paraId="6914284B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7D861D79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NICA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1D25A218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Net Independent Collateral Amount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47C84537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Net posted collateral excluding VM; affects RC in SA-CCR</w:t>
            </w:r>
          </w:p>
        </w:tc>
      </w:tr>
      <w:tr w:rsidR="008A18DA" w14:paraId="0B103C90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455AB2DE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NMRF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438CBE86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Non-Modellable Risk Factor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0975E649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Risk factor without sufficient price history; receives conservative FRTB charge</w:t>
            </w:r>
          </w:p>
        </w:tc>
      </w:tr>
      <w:tr w:rsidR="008A18DA" w14:paraId="7AA157FB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08F02314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OPE25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7F7E63AB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Operational Risk — Standardised Approach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2EC29A2C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BIS standard for OpRisk capital; placeholder in Sprint A</w:t>
            </w:r>
          </w:p>
        </w:tc>
      </w:tr>
      <w:tr w:rsidR="008A18DA" w14:paraId="41DBC6A9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1AB93BC3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PD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4F3659D1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Probability of Default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732086AE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Estimated probability that a borrower defaults within one year</w:t>
            </w:r>
          </w:p>
        </w:tc>
      </w:tr>
      <w:tr w:rsidR="008A18DA" w14:paraId="75161044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27610834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PFE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50847F51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Potential Future Exposure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06152AC2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High-percentile (e.g., 95th) future exposure; credit limit management metric</w:t>
            </w:r>
          </w:p>
        </w:tc>
      </w:tr>
      <w:tr w:rsidR="008A18DA" w14:paraId="3B07C4C0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6A7AFEF4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PLA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0B93D965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P&amp;L Attribution (test)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4207A9BE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FRTB MAR32 test comparing HPL to APL for IMA desk eligibility</w:t>
            </w:r>
          </w:p>
        </w:tc>
      </w:tr>
      <w:tr w:rsidR="008A18DA" w14:paraId="02CC0898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3413D4B7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QCCP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77D43796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Qualifying Central Counterparty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23655DCB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CCP meeting CPMI-IOSCO Principles; attracts 2% risk weight</w:t>
            </w:r>
          </w:p>
        </w:tc>
      </w:tr>
      <w:tr w:rsidR="008A18DA" w14:paraId="21B9BBF0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68726C82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RRAO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08B9A766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Residual Risk Add-On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5557BB4F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FRTB capital for exotic instruments not fully captured by SBM</w:t>
            </w:r>
          </w:p>
        </w:tc>
      </w:tr>
      <w:tr w:rsidR="008A18DA" w14:paraId="4E6EED36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6D6BB1CA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RC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579076C9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Replacement Cost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5C29E624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Immediate loss from counterparty default; first component of SA-CCR EAD</w:t>
            </w:r>
          </w:p>
        </w:tc>
      </w:tr>
      <w:tr w:rsidR="008A18DA" w14:paraId="00E6BF98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108F0D4F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RWA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5AFE3743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Risk-Weighted Assets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659ADB95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Capital base for capital ratio calculation; total = Final RWA / Capital ratio</w:t>
            </w:r>
          </w:p>
        </w:tc>
      </w:tr>
      <w:tr w:rsidR="008A18DA" w14:paraId="77730B44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2F50E33E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SA-CCR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4D2A7DC4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Standardised Approach for CCR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7227AF0A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CRE52 replacement for CEM and SM; mandatory floor for IMM</w:t>
            </w:r>
          </w:p>
        </w:tc>
      </w:tr>
      <w:tr w:rsidR="008A18DA" w14:paraId="186C3B09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13841A7B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SA-CVA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4DF88E04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Standardised Approach for CVA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536D052C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Sensitivity-based CVA capital approach; requires supervisory approval</w:t>
            </w:r>
          </w:p>
        </w:tc>
      </w:tr>
      <w:tr w:rsidR="008A18DA" w14:paraId="7A224395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0B2177C7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SBM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1DFCC6EA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Sensitivities-Based Method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0567CCA3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FRTB standardised approach using delta, vega, curvature sensitivities</w:t>
            </w:r>
          </w:p>
        </w:tc>
      </w:tr>
      <w:tr w:rsidR="008A18DA" w14:paraId="05207827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0F879814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SME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5FE1EEC9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Small and Medium Enterprise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799285B5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Obligors with &lt; €50M annual sales; lower correlation reduces A-IRB RWA</w:t>
            </w:r>
          </w:p>
        </w:tc>
      </w:tr>
      <w:tr w:rsidR="008A18DA" w14:paraId="6E002D57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49AE2C56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SOFR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39E7B39D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Secured Overnight Financing Rate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08E255BF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USD risk-free reference rate; replaced LIBOR; used for CVA discounting</w:t>
            </w:r>
          </w:p>
        </w:tc>
      </w:tr>
      <w:tr w:rsidR="008A18DA" w14:paraId="5319C9E9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17D86236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TH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633C71FB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Threshold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20ED8526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CSA threshold below which no collateral call is triggered</w:t>
            </w:r>
          </w:p>
        </w:tc>
      </w:tr>
      <w:tr w:rsidR="008A18DA" w14:paraId="46458228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1F63D7F2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TTC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546032C2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Through-the-Cycle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09882023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PD estimation methodology averaging across economic cycles</w:t>
            </w:r>
          </w:p>
        </w:tc>
      </w:tr>
      <w:tr w:rsidR="008A18DA" w14:paraId="6921369B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739F0F25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lastRenderedPageBreak/>
              <w:t>VaR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3814FDBF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Value at Risk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1857533E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Percentile loss over a holding period; replaced by ES in FRTB IMA</w:t>
            </w:r>
          </w:p>
        </w:tc>
      </w:tr>
      <w:tr w:rsidR="008A18DA" w14:paraId="7FEC3769" w14:textId="77777777">
        <w:trPr>
          <w:trHeight w:val="369"/>
        </w:trPr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3A38C448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VIX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2ECECE2E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CBOE Volatility Index</w:t>
            </w:r>
          </w:p>
        </w:tc>
        <w:tc>
          <w:tcPr>
            <w:tcW w:w="288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4EC89440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Implied volatility of S&amp;P 500 options; proxy for market stress</w:t>
            </w:r>
          </w:p>
        </w:tc>
      </w:tr>
    </w:tbl>
    <w:p w14:paraId="2416A105" w14:textId="77777777" w:rsidR="008A18DA" w:rsidRDefault="008A18DA"/>
    <w:p w14:paraId="132C099F" w14:textId="77777777" w:rsidR="008A18DA" w:rsidRDefault="008A18DA">
      <w:pPr>
        <w:pBdr>
          <w:bottom w:val="single" w:sz="6" w:space="1" w:color="9B111E"/>
        </w:pBdr>
      </w:pPr>
    </w:p>
    <w:p w14:paraId="1B79D335" w14:textId="77777777" w:rsidR="008A18DA" w:rsidRDefault="00000000">
      <w:pPr>
        <w:pStyle w:val="Heading2"/>
      </w:pPr>
      <w:r>
        <w:t>Appendix E — Sprint Roadmap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A18DA" w14:paraId="5ABA03B8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1E2A3A"/>
            <w:vAlign w:val="center"/>
          </w:tcPr>
          <w:p w14:paraId="2BA865CE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FFFFFF"/>
                <w:sz w:val="19"/>
              </w:rPr>
              <w:t>Sprint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1E2A3A"/>
            <w:vAlign w:val="center"/>
          </w:tcPr>
          <w:p w14:paraId="76566999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FFFFFF"/>
                <w:sz w:val="19"/>
              </w:rPr>
              <w:t>Planned Dates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1E2A3A"/>
            <w:vAlign w:val="center"/>
          </w:tcPr>
          <w:p w14:paraId="6C1E03A5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FFFFFF"/>
                <w:sz w:val="19"/>
              </w:rPr>
              <w:t>Key Deliverables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1E2A3A"/>
            <w:vAlign w:val="center"/>
          </w:tcPr>
          <w:p w14:paraId="567ED4E4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 w:rsidR="008A18DA" w14:paraId="1ED04F7E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2D2DA254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Sprint A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4AB94D5A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Nov 2024 – Jan 2025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41D9518F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All 6 engines, 48 tests, Dashboard, BRD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491AA8F3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✅ COMPLETE</w:t>
            </w:r>
          </w:p>
        </w:tc>
      </w:tr>
      <w:tr w:rsidR="008A18DA" w14:paraId="70763791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388646C0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Sprint B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12551383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Feb 2025 – Apr 2025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64DA414F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IMA PLA Gate (MAR32), Spearman / KS automation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240860CC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🔄 Planned</w:t>
            </w:r>
          </w:p>
        </w:tc>
      </w:tr>
      <w:tr w:rsidR="008A18DA" w14:paraId="439C1AB7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023E9E21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Sprint C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37451368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May 2025 – Jul 2025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70065832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Extended test suite (75+ tests), CVA/CCP expanded tests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3E7257B9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🔄 Planned</w:t>
            </w:r>
          </w:p>
        </w:tc>
      </w:tr>
      <w:tr w:rsidR="008A18DA" w14:paraId="07DBF842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56B9B565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Sprint D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2D70D882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Aug 2025 – Oct 2025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5D2EAD85" w14:textId="77777777" w:rsidR="008A18DA" w:rsidRPr="0067037A" w:rsidRDefault="00000000">
            <w:pPr>
              <w:spacing w:before="40" w:after="40"/>
              <w:ind w:left="80"/>
              <w:rPr>
                <w:lang w:val="fr-FR"/>
              </w:rPr>
            </w:pPr>
            <w:r w:rsidRPr="0067037A">
              <w:rPr>
                <w:sz w:val="19"/>
                <w:lang w:val="fr-FR"/>
              </w:rPr>
              <w:t>Dashboard CVA page, CCP page, IMA PLA page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62C3AD4B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🔄 Planned</w:t>
            </w:r>
          </w:p>
        </w:tc>
      </w:tr>
      <w:tr w:rsidR="008A18DA" w14:paraId="40C7DE2D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1CCF9F92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Sprint E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6429623A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Nov 2025 – Jan 2026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22AA4222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OPE25 Operational Risk engine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78B7DDE0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🔄 Planned</w:t>
            </w:r>
          </w:p>
        </w:tc>
      </w:tr>
      <w:tr w:rsidR="008A18DA" w14:paraId="594B62E6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4EA32B4E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Sprint F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64C129B3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Feb 2026 – Apr 2026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6169941D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User manual, demo video, LinkedIn showcase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2A63FF71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🔄 Planned</w:t>
            </w:r>
          </w:p>
        </w:tc>
      </w:tr>
    </w:tbl>
    <w:p w14:paraId="3C1DEB05" w14:textId="77777777" w:rsidR="008A18DA" w:rsidRDefault="008A18DA"/>
    <w:p w14:paraId="62CDF402" w14:textId="77777777" w:rsidR="008A18DA" w:rsidRDefault="008A18DA">
      <w:pPr>
        <w:pBdr>
          <w:bottom w:val="single" w:sz="6" w:space="1" w:color="9B111E"/>
        </w:pBdr>
      </w:pPr>
    </w:p>
    <w:p w14:paraId="1216DEB9" w14:textId="77777777" w:rsidR="008A18DA" w:rsidRDefault="00000000">
      <w:pPr>
        <w:pStyle w:val="Heading2"/>
      </w:pPr>
      <w:r>
        <w:t>Appendix F — Risk Register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8A18DA" w14:paraId="12C589F5" w14:textId="77777777">
        <w:trPr>
          <w:trHeight w:val="369"/>
        </w:trPr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1E2A3A"/>
            <w:vAlign w:val="center"/>
          </w:tcPr>
          <w:p w14:paraId="126B2B90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FFFFFF"/>
                <w:sz w:val="19"/>
              </w:rPr>
              <w:t>Risk ID</w:t>
            </w:r>
          </w:p>
        </w:tc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1E2A3A"/>
            <w:vAlign w:val="center"/>
          </w:tcPr>
          <w:p w14:paraId="3472EA50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FFFFFF"/>
                <w:sz w:val="19"/>
              </w:rPr>
              <w:t>Risk Description</w:t>
            </w:r>
          </w:p>
        </w:tc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1E2A3A"/>
            <w:vAlign w:val="center"/>
          </w:tcPr>
          <w:p w14:paraId="3793BEFA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FFFFFF"/>
                <w:sz w:val="19"/>
              </w:rPr>
              <w:t>Impact</w:t>
            </w:r>
          </w:p>
        </w:tc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1E2A3A"/>
            <w:vAlign w:val="center"/>
          </w:tcPr>
          <w:p w14:paraId="3A125456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FFFFFF"/>
                <w:sz w:val="19"/>
              </w:rPr>
              <w:t>Probability</w:t>
            </w:r>
          </w:p>
        </w:tc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1E2A3A"/>
            <w:vAlign w:val="center"/>
          </w:tcPr>
          <w:p w14:paraId="6C3A4713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FFFFFF"/>
                <w:sz w:val="19"/>
              </w:rPr>
              <w:t>Mitigation</w:t>
            </w:r>
          </w:p>
        </w:tc>
      </w:tr>
      <w:tr w:rsidR="008A18DA" w14:paraId="113308FB" w14:textId="77777777">
        <w:trPr>
          <w:trHeight w:val="369"/>
        </w:trPr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3F4A3E9E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R-001</w:t>
            </w:r>
          </w:p>
        </w:tc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1E50F93C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Regulatory change (BCBS standard revision)</w:t>
            </w:r>
          </w:p>
        </w:tc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2376315D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High</w:t>
            </w:r>
          </w:p>
        </w:tc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085089F7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Medium</w:t>
            </w:r>
          </w:p>
        </w:tc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14C97FA8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Modular engine design; BCBS subscription alerts; annual model review</w:t>
            </w:r>
          </w:p>
        </w:tc>
      </w:tr>
      <w:tr w:rsidR="008A18DA" w14:paraId="501CCB4A" w14:textId="77777777">
        <w:trPr>
          <w:trHeight w:val="369"/>
        </w:trPr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6DEC3A75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R-002</w:t>
            </w:r>
          </w:p>
        </w:tc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1A8B79F7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Market data source unavailable (Bloomberg / Refinitiv)</w:t>
            </w:r>
          </w:p>
        </w:tc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73D2BBF0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High</w:t>
            </w:r>
          </w:p>
        </w:tc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7680E3C4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Medium</w:t>
            </w:r>
          </w:p>
        </w:tc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49AEC087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Three-tier fallback cascade; FRED public API; static defaults</w:t>
            </w:r>
          </w:p>
        </w:tc>
      </w:tr>
      <w:tr w:rsidR="008A18DA" w14:paraId="15F1AEC0" w14:textId="77777777">
        <w:trPr>
          <w:trHeight w:val="369"/>
        </w:trPr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7BAFC453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R-003</w:t>
            </w:r>
          </w:p>
        </w:tc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210B9A51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Database corruption</w:t>
            </w:r>
          </w:p>
        </w:tc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552BDA22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High</w:t>
            </w:r>
          </w:p>
        </w:tc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0E5C39D9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Very Low</w:t>
            </w:r>
          </w:p>
        </w:tc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0323F81A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 xml:space="preserve">PostgreSQL ACID compliance; daily backups; </w:t>
            </w:r>
            <w:r>
              <w:rPr>
                <w:rFonts w:ascii="Courier New" w:hAnsi="Courier New"/>
                <w:color w:val="C7254E"/>
                <w:sz w:val="17"/>
              </w:rPr>
              <w:t>audit</w:t>
            </w:r>
            <w:r>
              <w:rPr>
                <w:sz w:val="19"/>
              </w:rPr>
              <w:t xml:space="preserve"> schema immutability</w:t>
            </w:r>
          </w:p>
        </w:tc>
      </w:tr>
      <w:tr w:rsidR="008A18DA" w14:paraId="2F9DE160" w14:textId="77777777">
        <w:trPr>
          <w:trHeight w:val="369"/>
        </w:trPr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73C9C328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R-004</w:t>
            </w:r>
          </w:p>
        </w:tc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1E50CA59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Capital miscalculation</w:t>
            </w:r>
          </w:p>
        </w:tc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1C6F72B4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Critical</w:t>
            </w:r>
          </w:p>
        </w:tc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7A9029F8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Very Low</w:t>
            </w:r>
          </w:p>
        </w:tc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07A71359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 xml:space="preserve">48 validation tests; formula references in code </w:t>
            </w:r>
            <w:r>
              <w:rPr>
                <w:sz w:val="19"/>
              </w:rPr>
              <w:lastRenderedPageBreak/>
              <w:t>comments; peer review</w:t>
            </w:r>
          </w:p>
        </w:tc>
      </w:tr>
      <w:tr w:rsidR="008A18DA" w14:paraId="2AC01CA5" w14:textId="77777777">
        <w:trPr>
          <w:trHeight w:val="369"/>
        </w:trPr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56DBE183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lastRenderedPageBreak/>
              <w:t>R-005</w:t>
            </w:r>
          </w:p>
        </w:tc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4C673CED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IMM model deterioration (backtesting Red Zone)</w:t>
            </w:r>
          </w:p>
        </w:tc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2F991DE0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High</w:t>
            </w:r>
          </w:p>
        </w:tc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201BE2AF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Low</w:t>
            </w:r>
          </w:p>
        </w:tc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68D411EA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250-day rolling backtest; automated breach alerts; model recalibration trigger</w:t>
            </w:r>
          </w:p>
        </w:tc>
      </w:tr>
      <w:tr w:rsidR="008A18DA" w14:paraId="00E2B654" w14:textId="77777777">
        <w:trPr>
          <w:trHeight w:val="369"/>
        </w:trPr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2717A93B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R-006</w:t>
            </w:r>
          </w:p>
        </w:tc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51C3F441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Monte Carlo convergence failure</w:t>
            </w:r>
          </w:p>
        </w:tc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657E47D0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Medium</w:t>
            </w:r>
          </w:p>
        </w:tc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3895ED79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Low</w:t>
            </w:r>
          </w:p>
        </w:tc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6AC41EE9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Fixed random seed (42) for reproducibility; antithetic variance reduction</w:t>
            </w:r>
          </w:p>
        </w:tc>
      </w:tr>
      <w:tr w:rsidR="008A18DA" w14:paraId="485ED0BA" w14:textId="77777777">
        <w:trPr>
          <w:trHeight w:val="369"/>
        </w:trPr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1479545D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R-007</w:t>
            </w:r>
          </w:p>
        </w:tc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0DA62ED5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Third-party API downtime (FRED, Bloomberg)</w:t>
            </w:r>
          </w:p>
        </w:tc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3B5F6574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Medium</w:t>
            </w:r>
          </w:p>
        </w:tc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55C3DA95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Medium</w:t>
            </w:r>
          </w:p>
        </w:tc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55A57AA4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Local cache (300s TTL); hard-coded defaults; graceful degradation logs</w:t>
            </w:r>
          </w:p>
        </w:tc>
      </w:tr>
      <w:tr w:rsidR="008A18DA" w14:paraId="7EEB0D72" w14:textId="77777777">
        <w:trPr>
          <w:trHeight w:val="369"/>
        </w:trPr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787A3FAA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R-008</w:t>
            </w:r>
          </w:p>
        </w:tc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04E963A2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Key person dependency</w:t>
            </w:r>
          </w:p>
        </w:tc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089FEF88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High</w:t>
            </w:r>
          </w:p>
        </w:tc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7AB4F84A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Medium</w:t>
            </w:r>
          </w:p>
        </w:tc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0BA61E74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Comprehensive documentation; this FSD; code comments with Basel references</w:t>
            </w:r>
          </w:p>
        </w:tc>
      </w:tr>
      <w:tr w:rsidR="008A18DA" w14:paraId="0B969F71" w14:textId="77777777">
        <w:trPr>
          <w:trHeight w:val="369"/>
        </w:trPr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1A6FCF4B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R-009</w:t>
            </w:r>
          </w:p>
        </w:tc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4E7033E8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Scope creep on regulatory changes</w:t>
            </w:r>
          </w:p>
        </w:tc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418425F2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Medium</w:t>
            </w:r>
          </w:p>
        </w:tc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05B08684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Medium</w:t>
            </w:r>
          </w:p>
        </w:tc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60252202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BRD sign-off; sprint planning; change request process</w:t>
            </w:r>
          </w:p>
        </w:tc>
      </w:tr>
      <w:tr w:rsidR="008A18DA" w14:paraId="02B5A60C" w14:textId="77777777">
        <w:trPr>
          <w:trHeight w:val="369"/>
        </w:trPr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2C6F5711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R-010</w:t>
            </w:r>
          </w:p>
        </w:tc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466BF6AD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Cloud migration complexity (planned Sprint E/F)</w:t>
            </w:r>
          </w:p>
        </w:tc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36E319F9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Medium</w:t>
            </w:r>
          </w:p>
        </w:tc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4168381A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Medium</w:t>
            </w:r>
          </w:p>
        </w:tc>
        <w:tc>
          <w:tcPr>
            <w:tcW w:w="172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563D24B2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Containerised architecture; PostgreSQL → Azure DB migration scripts</w:t>
            </w:r>
          </w:p>
        </w:tc>
      </w:tr>
    </w:tbl>
    <w:p w14:paraId="0DAFC49F" w14:textId="77777777" w:rsidR="008A18DA" w:rsidRDefault="008A18DA"/>
    <w:p w14:paraId="2B16CC53" w14:textId="77777777" w:rsidR="008A18DA" w:rsidRDefault="008A18DA">
      <w:pPr>
        <w:pBdr>
          <w:bottom w:val="single" w:sz="6" w:space="1" w:color="9B111E"/>
        </w:pBdr>
      </w:pPr>
    </w:p>
    <w:p w14:paraId="24A95E5A" w14:textId="77777777" w:rsidR="008A18DA" w:rsidRDefault="00000000">
      <w:pPr>
        <w:pStyle w:val="Heading2"/>
      </w:pPr>
      <w:r>
        <w:t>Appendix G — Acceptance Criteria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A18DA" w14:paraId="2CFB40B3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1E2A3A"/>
            <w:vAlign w:val="center"/>
          </w:tcPr>
          <w:p w14:paraId="10956024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FFFFFF"/>
                <w:sz w:val="19"/>
              </w:rPr>
              <w:t>Criterion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1E2A3A"/>
            <w:vAlign w:val="center"/>
          </w:tcPr>
          <w:p w14:paraId="4D95F675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FFFFFF"/>
                <w:sz w:val="19"/>
              </w:rPr>
              <w:t>Target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1E2A3A"/>
            <w:vAlign w:val="center"/>
          </w:tcPr>
          <w:p w14:paraId="0D1CB4E2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FFFFFF"/>
                <w:sz w:val="19"/>
              </w:rPr>
              <w:t>Achieved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1E2A3A"/>
            <w:vAlign w:val="center"/>
          </w:tcPr>
          <w:p w14:paraId="2153F56E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 w:rsidR="008A18DA" w14:paraId="3448C364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3DEDCE4C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Six regulatory engines implemented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67100715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✅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6CECA9C9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✅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4E3A7935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Complete</w:t>
            </w:r>
          </w:p>
        </w:tc>
      </w:tr>
      <w:tr w:rsidR="008A18DA" w14:paraId="4BAAEB1B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667CA4B3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Test pass rate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56C74AE8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100% (48/48)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369184FE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100% (48/48)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07A7CE88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✅</w:t>
            </w:r>
          </w:p>
        </w:tc>
      </w:tr>
      <w:tr w:rsidR="008A18DA" w14:paraId="4FE428F3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770A5162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Type safety (Pylance strict)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61E10FFD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0 errors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122F52A0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0 errors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3C818550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✅</w:t>
            </w:r>
          </w:p>
        </w:tc>
      </w:tr>
      <w:tr w:rsidR="008A18DA" w14:paraId="0AC29C72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7F03D8C7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Daily risk run time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51A036B7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&lt; 5 min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0A5FDE07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~2 min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1AD57A54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✅</w:t>
            </w:r>
          </w:p>
        </w:tc>
      </w:tr>
      <w:tr w:rsidR="008A18DA" w14:paraId="751E7897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66F8702B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Dashboard pages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63F408A5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8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23FC98C8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8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2C7DE748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✅</w:t>
            </w:r>
          </w:p>
        </w:tc>
      </w:tr>
      <w:tr w:rsidR="008A18DA" w14:paraId="1FD7C655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2D0524FA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Audit trail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396868DB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All calculations logged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758B71D2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All logged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019A8472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✅</w:t>
            </w:r>
          </w:p>
        </w:tc>
      </w:tr>
      <w:tr w:rsidR="008A18DA" w14:paraId="6A5DB95B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33E07835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Fallback trace codes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4570599D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All fallbacks traced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022AC1C1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All traced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3D57BF96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✅</w:t>
            </w:r>
          </w:p>
        </w:tc>
      </w:tr>
      <w:tr w:rsidR="008A18DA" w14:paraId="6F326F73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289CBD10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Output floor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200DE2F6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RBC20.11 compliant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4FC8AA2B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Verified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6035134E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✅</w:t>
            </w:r>
          </w:p>
        </w:tc>
      </w:tr>
      <w:tr w:rsidR="008A18DA" w14:paraId="24247EEA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7CEA7FFE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CVA excluded from floor base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4B3D1ECC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CAP10 FAQ1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02D344C4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Implemented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7E01BFB5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✅</w:t>
            </w:r>
          </w:p>
        </w:tc>
      </w:tr>
      <w:tr w:rsidR="008A18DA" w14:paraId="082B4729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2725A0AA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lastRenderedPageBreak/>
              <w:t>Export capability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69916270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xlsx / csv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097A43E0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Operational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328A8C0B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✅</w:t>
            </w:r>
          </w:p>
        </w:tc>
      </w:tr>
    </w:tbl>
    <w:p w14:paraId="7F55961B" w14:textId="77777777" w:rsidR="008A18DA" w:rsidRDefault="008A18DA"/>
    <w:p w14:paraId="116C7C14" w14:textId="77777777" w:rsidR="008A18DA" w:rsidRDefault="008A18DA">
      <w:pPr>
        <w:pBdr>
          <w:bottom w:val="single" w:sz="6" w:space="1" w:color="9B111E"/>
        </w:pBdr>
      </w:pPr>
    </w:p>
    <w:p w14:paraId="09E0BEE5" w14:textId="77777777" w:rsidR="008A18DA" w:rsidRDefault="00000000">
      <w:pPr>
        <w:pStyle w:val="Heading2"/>
      </w:pPr>
      <w:r>
        <w:t>Appendix H — Sign-Off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8"/>
        <w:gridCol w:w="2083"/>
        <w:gridCol w:w="2662"/>
        <w:gridCol w:w="2094"/>
      </w:tblGrid>
      <w:tr w:rsidR="008A18DA" w14:paraId="027098B8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1E2A3A"/>
            <w:vAlign w:val="center"/>
          </w:tcPr>
          <w:p w14:paraId="0E081071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1E2A3A"/>
            <w:vAlign w:val="center"/>
          </w:tcPr>
          <w:p w14:paraId="666B69D5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1E2A3A"/>
            <w:vAlign w:val="center"/>
          </w:tcPr>
          <w:p w14:paraId="41C805B8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FFFFFF"/>
                <w:sz w:val="19"/>
              </w:rPr>
              <w:t>Signature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1E2A3A"/>
            <w:vAlign w:val="center"/>
          </w:tcPr>
          <w:p w14:paraId="3190288E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FFFFFF"/>
                <w:sz w:val="19"/>
              </w:rPr>
              <w:t>Date</w:t>
            </w:r>
          </w:p>
        </w:tc>
      </w:tr>
      <w:tr w:rsidR="008A18DA" w14:paraId="5E878F36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349F891C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Project Sponsor (CRO)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675BCED7" w14:textId="77777777" w:rsidR="008A18DA" w:rsidRDefault="008A18DA">
            <w:pPr>
              <w:spacing w:before="40" w:after="40"/>
              <w:ind w:left="80"/>
            </w:pP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481AEC84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_________________________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4BF058B2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_______</w:t>
            </w:r>
          </w:p>
        </w:tc>
      </w:tr>
      <w:tr w:rsidR="008A18DA" w14:paraId="2F751691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118DEFB3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Business Owner (Head of Risk)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0D315AC8" w14:textId="77777777" w:rsidR="008A18DA" w:rsidRDefault="008A18DA">
            <w:pPr>
              <w:spacing w:before="40" w:after="40"/>
              <w:ind w:left="80"/>
            </w:pP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39745956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_________________________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3F94184D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_______</w:t>
            </w:r>
          </w:p>
        </w:tc>
      </w:tr>
      <w:tr w:rsidR="008A18DA" w14:paraId="389D291E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39EF954A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Technical Lead (Lead Developer)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373EFED7" w14:textId="77777777" w:rsidR="008A18DA" w:rsidRDefault="008A18DA">
            <w:pPr>
              <w:spacing w:before="40" w:after="40"/>
              <w:ind w:left="80"/>
            </w:pP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06C35879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_________________________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0F25CFAF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_______</w:t>
            </w:r>
          </w:p>
        </w:tc>
      </w:tr>
      <w:tr w:rsidR="008A18DA" w14:paraId="7AAEFBF0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003F34C0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Model Validation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13D75CDB" w14:textId="77777777" w:rsidR="008A18DA" w:rsidRDefault="008A18DA">
            <w:pPr>
              <w:spacing w:before="40" w:after="40"/>
              <w:ind w:left="80"/>
            </w:pP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4811EC64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_________________________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72A68E53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_______</w:t>
            </w:r>
          </w:p>
        </w:tc>
      </w:tr>
      <w:tr w:rsidR="008A18DA" w14:paraId="1AAFA776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260414B5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Compliance Officer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059B3A9A" w14:textId="77777777" w:rsidR="008A18DA" w:rsidRDefault="008A18DA">
            <w:pPr>
              <w:spacing w:before="40" w:after="40"/>
              <w:ind w:left="80"/>
            </w:pP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2F23C711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_________________________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FFFFF"/>
            <w:vAlign w:val="center"/>
          </w:tcPr>
          <w:p w14:paraId="0A989598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_______</w:t>
            </w:r>
          </w:p>
        </w:tc>
      </w:tr>
      <w:tr w:rsidR="008A18DA" w14:paraId="73F8D91A" w14:textId="77777777">
        <w:trPr>
          <w:trHeight w:val="369"/>
        </w:trPr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5FB81908" w14:textId="77777777" w:rsidR="008A18DA" w:rsidRDefault="00000000">
            <w:pPr>
              <w:spacing w:before="40" w:after="40"/>
              <w:ind w:left="80"/>
            </w:pPr>
            <w:r>
              <w:rPr>
                <w:b/>
                <w:color w:val="1E2A3A"/>
                <w:sz w:val="19"/>
              </w:rPr>
              <w:t>IT Infrastructure Lead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34A52677" w14:textId="77777777" w:rsidR="008A18DA" w:rsidRDefault="008A18DA">
            <w:pPr>
              <w:spacing w:before="40" w:after="40"/>
              <w:ind w:left="80"/>
            </w:pP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3EC185E9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_________________________</w:t>
            </w:r>
          </w:p>
        </w:tc>
        <w:tc>
          <w:tcPr>
            <w:tcW w:w="216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val="clear" w:color="auto" w:fill="F0F4F8"/>
            <w:vAlign w:val="center"/>
          </w:tcPr>
          <w:p w14:paraId="213B1DF4" w14:textId="77777777" w:rsidR="008A18DA" w:rsidRDefault="00000000">
            <w:pPr>
              <w:spacing w:before="40" w:after="40"/>
              <w:ind w:left="80"/>
            </w:pPr>
            <w:r>
              <w:rPr>
                <w:sz w:val="19"/>
              </w:rPr>
              <w:t>_______</w:t>
            </w:r>
          </w:p>
        </w:tc>
      </w:tr>
    </w:tbl>
    <w:p w14:paraId="2CADB4E1" w14:textId="77777777" w:rsidR="008A18DA" w:rsidRDefault="008A18DA"/>
    <w:p w14:paraId="1F00EDF0" w14:textId="77777777" w:rsidR="008A18DA" w:rsidRDefault="008A18DA">
      <w:pPr>
        <w:pBdr>
          <w:bottom w:val="single" w:sz="6" w:space="1" w:color="9B111E"/>
        </w:pBdr>
      </w:pPr>
    </w:p>
    <w:p w14:paraId="01B4CDA2" w14:textId="77777777" w:rsidR="008A18DA" w:rsidRDefault="008A18DA">
      <w:pPr>
        <w:pBdr>
          <w:bottom w:val="single" w:sz="6" w:space="1" w:color="9B111E"/>
        </w:pBdr>
      </w:pPr>
    </w:p>
    <w:p w14:paraId="1041713C" w14:textId="77777777" w:rsidR="008A18DA" w:rsidRDefault="00000000">
      <w:pPr>
        <w:spacing w:before="40" w:after="80"/>
      </w:pPr>
      <w:r>
        <w:rPr>
          <w:i/>
        </w:rPr>
        <w:t>PROMETHEUS · Basel III/IV Risk Management Platform · Python 3.11 · PostgreSQL 15 · Streamlit 1.28</w:t>
      </w:r>
    </w:p>
    <w:p w14:paraId="39A1B2D0" w14:textId="77777777" w:rsidR="008A18DA" w:rsidRDefault="00000000">
      <w:pPr>
        <w:spacing w:before="40" w:after="80"/>
      </w:pPr>
      <w:r>
        <w:rPr>
          <w:i/>
        </w:rPr>
        <w:t>Document Reference: PROMETHEUS-FSD-v1.0 · Classification: Internal Use — Confidential</w:t>
      </w:r>
    </w:p>
    <w:p w14:paraId="0B559FE5" w14:textId="77777777" w:rsidR="008A18DA" w:rsidRDefault="00000000">
      <w:pPr>
        <w:spacing w:before="40" w:after="80"/>
      </w:pPr>
      <w:r>
        <w:rPr>
          <w:i/>
        </w:rPr>
        <w:t>© 2025–2026 Risk Technology · All rights reserved</w:t>
      </w:r>
    </w:p>
    <w:sectPr w:rsidR="008A18DA" w:rsidSect="00034616">
      <w:headerReference w:type="default" r:id="rId8"/>
      <w:footerReference w:type="default" r:id="rId9"/>
      <w:pgSz w:w="11909" w:h="16834"/>
      <w:pgMar w:top="1440" w:right="1584" w:bottom="1440" w:left="158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E442A" w14:textId="77777777" w:rsidR="00484526" w:rsidRDefault="00484526">
      <w:pPr>
        <w:spacing w:after="0" w:line="240" w:lineRule="auto"/>
      </w:pPr>
      <w:r>
        <w:separator/>
      </w:r>
    </w:p>
  </w:endnote>
  <w:endnote w:type="continuationSeparator" w:id="0">
    <w:p w14:paraId="184B49B6" w14:textId="77777777" w:rsidR="00484526" w:rsidRDefault="004845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A2E98" w14:textId="71B6228A" w:rsidR="008A18DA" w:rsidRDefault="00000000">
    <w:pPr>
      <w:pStyle w:val="Footer"/>
      <w:jc w:val="center"/>
    </w:pPr>
    <w:r>
      <w:rPr>
        <w:sz w:val="16"/>
      </w:rPr>
      <w:t>PROMETHEUS-FSD-v1.0</w:t>
    </w:r>
    <w:r w:rsidR="0067037A">
      <w:rPr>
        <w:sz w:val="16"/>
      </w:rPr>
      <w:t>· Internal</w:t>
    </w:r>
    <w:r>
      <w:rPr>
        <w:sz w:val="16"/>
      </w:rPr>
      <w:t xml:space="preserve"> Use — </w:t>
    </w:r>
    <w:r w:rsidR="0067037A">
      <w:rPr>
        <w:sz w:val="16"/>
      </w:rPr>
      <w:t>Confidential · April</w:t>
    </w:r>
    <w:r>
      <w:rPr>
        <w:sz w:val="16"/>
      </w:rPr>
      <w:t xml:space="preserve"> 5, 2026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5D0B59" w14:textId="77777777" w:rsidR="00484526" w:rsidRDefault="00484526">
      <w:pPr>
        <w:spacing w:after="0" w:line="240" w:lineRule="auto"/>
      </w:pPr>
      <w:r>
        <w:separator/>
      </w:r>
    </w:p>
  </w:footnote>
  <w:footnote w:type="continuationSeparator" w:id="0">
    <w:p w14:paraId="020C3D61" w14:textId="77777777" w:rsidR="00484526" w:rsidRDefault="004845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A08CF" w14:textId="1037384C" w:rsidR="008A18DA" w:rsidRDefault="0067037A">
    <w:pPr>
      <w:pStyle w:val="Header"/>
      <w:pBdr>
        <w:bottom w:val="single" w:sz="4" w:space="1" w:color="D0D4D9"/>
      </w:pBdr>
      <w:jc w:val="right"/>
    </w:pPr>
    <w:r>
      <w:rPr>
        <w:sz w:val="16"/>
      </w:rPr>
      <w:t>PROMETHEUS | Functional</w:t>
    </w:r>
    <w:r w:rsidR="00000000">
      <w:rPr>
        <w:sz w:val="16"/>
      </w:rPr>
      <w:t xml:space="preserve"> Specification </w:t>
    </w:r>
    <w:r>
      <w:rPr>
        <w:sz w:val="16"/>
      </w:rPr>
      <w:t>Document |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6560122">
    <w:abstractNumId w:val="8"/>
  </w:num>
  <w:num w:numId="2" w16cid:durableId="1569195459">
    <w:abstractNumId w:val="6"/>
  </w:num>
  <w:num w:numId="3" w16cid:durableId="2116631927">
    <w:abstractNumId w:val="5"/>
  </w:num>
  <w:num w:numId="4" w16cid:durableId="614794243">
    <w:abstractNumId w:val="4"/>
  </w:num>
  <w:num w:numId="5" w16cid:durableId="1569069721">
    <w:abstractNumId w:val="7"/>
  </w:num>
  <w:num w:numId="6" w16cid:durableId="313993260">
    <w:abstractNumId w:val="3"/>
  </w:num>
  <w:num w:numId="7" w16cid:durableId="1606617608">
    <w:abstractNumId w:val="2"/>
  </w:num>
  <w:num w:numId="8" w16cid:durableId="1154300931">
    <w:abstractNumId w:val="1"/>
  </w:num>
  <w:num w:numId="9" w16cid:durableId="1286883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4526"/>
    <w:rsid w:val="0067037A"/>
    <w:rsid w:val="0079590D"/>
    <w:rsid w:val="008A18D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F4ED83"/>
  <w14:defaultImageDpi w14:val="300"/>
  <w15:docId w15:val="{A849A276-759D-BD4A-B2ED-4A00AFC07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4A5A6A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b/>
      <w:bCs/>
      <w:color w:val="1E2A3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/>
      <w:b/>
      <w:bCs/>
      <w:color w:val="9B111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/>
      <w:b/>
      <w:bCs/>
      <w:color w:val="1E2A3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Theme="majorHAnsi" w:eastAsiaTheme="majorEastAsia" w:hAnsiTheme="majorHAnsi" w:cstheme="majorBidi"/>
      <w:b/>
      <w:bCs/>
      <w:i/>
      <w:iCs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49</Pages>
  <Words>11896</Words>
  <Characters>77088</Characters>
  <Application>Microsoft Office Word</Application>
  <DocSecurity>0</DocSecurity>
  <Lines>3351</Lines>
  <Paragraphs>2404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86580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ANTONY ALEX</cp:lastModifiedBy>
  <cp:revision>2</cp:revision>
  <dcterms:created xsi:type="dcterms:W3CDTF">2013-12-23T23:15:00Z</dcterms:created>
  <dcterms:modified xsi:type="dcterms:W3CDTF">2026-04-04T20:46:00Z</dcterms:modified>
  <cp:category/>
</cp:coreProperties>
</file>