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frtb-technical-guide"/>
    <w:p>
      <w:pPr>
        <w:pStyle w:val="Heading1"/>
      </w:pPr>
      <w:r>
        <w:t xml:space="preserve">FRTB Technical Guide</w:t>
      </w:r>
    </w:p>
    <w:bookmarkStart w:id="9" w:name="X6ab017753187144bd2673c0d21d7b14e77b9880"/>
    <w:p>
      <w:pPr>
        <w:pStyle w:val="Heading2"/>
      </w:pPr>
      <w:r>
        <w:t xml:space="preserve">Fundamental Review of the Trading Book (MAR10 / MAR21–23 / MAR31–33)</w:t>
      </w:r>
    </w:p>
    <w:bookmarkEnd w:id="9"/>
    <w:bookmarkStart w:id="10" w:name="prometheus-risk-platform"/>
    <w:p>
      <w:pPr>
        <w:pStyle w:val="Heading2"/>
      </w:pPr>
      <w:r>
        <w:t xml:space="preserve">### PROMETHEUS Risk Platform</w: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Overview &amp; Regulatory Basis</w:t>
      </w:r>
    </w:p>
    <w:p>
      <w:pPr>
        <w:pStyle w:val="Compact"/>
        <w:numPr>
          <w:ilvl w:val="0"/>
          <w:numId w:val="1001"/>
        </w:numPr>
      </w:pPr>
      <w:r>
        <w:t xml:space="preserve">FRTB Architecture</w:t>
      </w:r>
    </w:p>
    <w:p>
      <w:pPr>
        <w:pStyle w:val="Compact"/>
        <w:numPr>
          <w:ilvl w:val="0"/>
          <w:numId w:val="1001"/>
        </w:numPr>
      </w:pPr>
      <w:r>
        <w:t xml:space="preserve">Sensitivities-Based Method (SBM)</w:t>
      </w:r>
    </w:p>
    <w:p>
      <w:pPr>
        <w:pStyle w:val="Compact"/>
        <w:numPr>
          <w:ilvl w:val="0"/>
          <w:numId w:val="1001"/>
        </w:numPr>
      </w:pPr>
      <w:r>
        <w:t xml:space="preserve">Internal Models Approach (IMA)</w:t>
      </w:r>
    </w:p>
    <w:p>
      <w:pPr>
        <w:pStyle w:val="Compact"/>
        <w:numPr>
          <w:ilvl w:val="0"/>
          <w:numId w:val="1001"/>
        </w:numPr>
      </w:pPr>
      <w:r>
        <w:t xml:space="preserve">Market Risk Capital</w:t>
      </w:r>
    </w:p>
    <w:p>
      <w:pPr>
        <w:pStyle w:val="Compact"/>
        <w:numPr>
          <w:ilvl w:val="0"/>
          <w:numId w:val="1001"/>
        </w:numPr>
      </w:pPr>
      <w:r>
        <w:t xml:space="preserve">Key Bug Fixes Applied</w:t>
      </w:r>
    </w:p>
    <w:p>
      <w:pPr>
        <w:pStyle w:val="Compact"/>
        <w:numPr>
          <w:ilvl w:val="0"/>
          <w:numId w:val="1001"/>
        </w:numPr>
      </w:pPr>
      <w:r>
        <w:t xml:space="preserve">Glossary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— Delta Charge: IR Bond Position (GIRR)</w:t>
      </w:r>
      <w:r>
        <w:t xml:space="preserve"> </w:t>
      </w:r>
      <w:r>
        <w:rPr>
          <w:b/>
          <w:bCs/>
        </w:rPr>
        <w:t xml:space="preserve">Appendix B</w:t>
      </w:r>
      <w:r>
        <w:t xml:space="preserve"> </w:t>
      </w:r>
      <w:r>
        <w:t xml:space="preserve">— Equity Option: Delta + Vega + Curvature</w:t>
      </w:r>
      <w:r>
        <w:t xml:space="preserve"> </w:t>
      </w:r>
      <w:r>
        <w:rPr>
          <w:b/>
          <w:bCs/>
        </w:rPr>
        <w:t xml:space="preserve">Appendix C</w:t>
      </w:r>
      <w:r>
        <w:t xml:space="preserve"> </w:t>
      </w:r>
      <w:r>
        <w:t xml:space="preserve">— IMA Expected Shortfall Numeric Example</w:t>
      </w:r>
      <w:r>
        <w:t xml:space="preserve"> </w:t>
      </w:r>
      <w:r>
        <w:rPr>
          <w:b/>
          <w:bCs/>
        </w:rPr>
        <w:t xml:space="preserve">Appendix D</w:t>
      </w:r>
      <w:r>
        <w:t xml:space="preserve"> </w:t>
      </w:r>
      <w:r>
        <w:t xml:space="preserve">— NMRF Charge</w:t>
      </w:r>
      <w:r>
        <w:t xml:space="preserve"> </w:t>
      </w:r>
      <w:r>
        <w:rPr>
          <w:b/>
          <w:bCs/>
        </w:rPr>
        <w:t xml:space="preserve">Appendix E</w:t>
      </w:r>
      <w:r>
        <w:t xml:space="preserve"> </w:t>
      </w:r>
      <w:r>
        <w:t xml:space="preserve">— Backtesting Traffic Light</w:t>
      </w:r>
      <w:r>
        <w:t xml:space="preserve"> </w:t>
      </w:r>
      <w:r>
        <w:t xml:space="preserve">—</w:t>
      </w:r>
      <w:r>
        <w:t xml:space="preserve"> </w:t>
      </w:r>
      <w:r>
        <w:t xml:space="preserve">## 1. Overview &amp; Regulatory Basis</w:t>
      </w:r>
      <w:r>
        <w:t xml:space="preserve"> </w:t>
      </w:r>
      <w:r>
        <w:t xml:space="preserve">FRTB replaces the 1996 Basel II VaR approach for market risk. It establishes a clearer trading/banking book boundary, a more risk-sensitive standardised method (SBM), and a rigorous internal model framework (IMA).</w:t>
      </w:r>
      <w:r>
        <w:t xml:space="preserve"> </w:t>
      </w:r>
      <w:r>
        <w:t xml:space="preserve">| Basel Section | Topic |</w:t>
      </w:r>
      <w:r>
        <w:t xml:space="preserve"> </w:t>
      </w:r>
      <w:r>
        <w:t xml:space="preserve">|—|—|</w:t>
      </w:r>
      <w:r>
        <w:t xml:space="preserve"> </w:t>
      </w:r>
      <w:r>
        <w:t xml:space="preserve">| MAR10 | Scope: trading book boundary |</w:t>
      </w:r>
      <w:r>
        <w:t xml:space="preserve"> </w:t>
      </w:r>
      <w:r>
        <w:t xml:space="preserve">| MAR21 | SBM — Delta charge |</w:t>
      </w:r>
      <w:r>
        <w:t xml:space="preserve"> </w:t>
      </w:r>
      <w:r>
        <w:t xml:space="preserve">| MAR22 | SBM — Vega charge |</w:t>
      </w:r>
      <w:r>
        <w:t xml:space="preserve"> </w:t>
      </w:r>
      <w:r>
        <w:t xml:space="preserve">| MAR23 | SBM — Curvature charge |</w:t>
      </w:r>
      <w:r>
        <w:t xml:space="preserve"> </w:t>
      </w:r>
      <w:r>
        <w:t xml:space="preserve">| MAR31 | IMA — Expected Shortfall, NMRF |</w:t>
      </w:r>
      <w:r>
        <w:t xml:space="preserve"> </w:t>
      </w:r>
      <w:r>
        <w:t xml:space="preserve">| MAR32 | IMA — Backtesting |</w:t>
      </w:r>
      <w:r>
        <w:t xml:space="preserve"> </w:t>
      </w:r>
      <w:r>
        <w:t xml:space="preserve">| MAR33 | IMA — P&amp;L attribution, capital floor |</w:t>
      </w:r>
      <w:r>
        <w:t xml:space="preserve"> </w:t>
      </w:r>
      <w:r>
        <w:t xml:space="preserve">| MAR99 | Backtesting traffic-light examples |</w:t>
      </w:r>
      <w:r>
        <w:t xml:space="preserve"> </w:t>
      </w:r>
      <w:r>
        <w:t xml:space="preserve">—</w:t>
      </w:r>
      <w:r>
        <w:t xml:space="preserve"> </w:t>
      </w:r>
      <w:r>
        <w:t xml:space="preserve">## 2. FRTB Architecture</w:t>
      </w:r>
    </w:p>
    <w:p>
      <w:pPr>
        <w:pStyle w:val="SourceCode"/>
      </w:pPr>
      <w:r>
        <w:rPr>
          <w:rStyle w:val="VerbatimChar"/>
        </w:rPr>
        <w:t xml:space="preserve">Trading Book Positions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SBM (always computed)</w:t>
      </w:r>
      <w:r>
        <w:br/>
      </w:r>
      <w:r>
        <w:rPr>
          <w:rStyle w:val="VerbatimChar"/>
        </w:rPr>
        <w:t xml:space="preserve">    │    ├── Delta charge  (RW × WS → bucket → cross-bucket)</w:t>
      </w:r>
      <w:r>
        <w:br/>
      </w:r>
      <w:r>
        <w:rPr>
          <w:rStyle w:val="VerbatimChar"/>
        </w:rPr>
        <w:t xml:space="preserve">    │    ├── Vega charge   (same structure)</w:t>
      </w:r>
      <w:r>
        <w:br/>
      </w:r>
      <w:r>
        <w:rPr>
          <w:rStyle w:val="VerbatimChar"/>
        </w:rPr>
        <w:t xml:space="preserve">    │    └── Curvature charge (CVR± stress scenarios)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IMA (if approved)</w:t>
      </w:r>
      <w:r>
        <w:br/>
      </w:r>
      <w:r>
        <w:rPr>
          <w:rStyle w:val="VerbatimChar"/>
        </w:rPr>
        <w:t xml:space="preserve">    │    ├── Expected Shortfall (ES 97.5%, stressed period)</w:t>
      </w:r>
      <w:r>
        <w:br/>
      </w:r>
      <w:r>
        <w:rPr>
          <w:rStyle w:val="VerbatimChar"/>
        </w:rPr>
        <w:t xml:space="preserve">    │    ├── NMRF stress scenarios (SSRM per factor)</w:t>
      </w:r>
      <w:r>
        <w:br/>
      </w:r>
      <w:r>
        <w:rPr>
          <w:rStyle w:val="VerbatimChar"/>
        </w:rPr>
        <w:t xml:space="preserve">    │    └── Backtesting (250-day window)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Capital = max(SBM, IMA) × 12.5 → Market Risk RWA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3. Sensitivities-Based Method (SBM)</w:t>
            </w:r>
            <w:r>
              <w:t xml:space="preserve"> </w:t>
            </w:r>
            <w:r>
              <w:t xml:space="preserve">### 3.1 Delta Charge</w:t>
            </w:r>
            <w:r>
              <w:t xml:space="preserve"> </w:t>
            </w:r>
            <w:r>
              <w:rPr>
                <w:b/>
                <w:bCs/>
              </w:rPr>
              <w:t xml:space="preserve">Weighted Sensitivity: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4. Internal Models Approach (IMA)</w:t>
            </w:r>
            <w:r>
              <w:t xml:space="preserve"> </w:t>
            </w:r>
            <w:r>
              <w:t xml:space="preserve">### 4.1 Expected Shortfall (MAR33.8 — FIX-05)</w:t>
            </w:r>
          </w:p>
        </w:tc>
      </w:tr>
    </w:tbl>
    <w:bookmarkEnd w:id="11"/>
    <w:bookmarkStart w:id="12" w:name="market-risk-capital"/>
    <w:p>
      <w:pPr>
        <w:pStyle w:val="Heading2"/>
      </w:pPr>
      <w:r>
        <w:t xml:space="preserve">5. Market Risk Capital</w:t>
      </w:r>
    </w:p>
    <w:p>
      <w:pPr>
        <w:pStyle w:val="SourceCode"/>
      </w:pPr>
      <w:r>
        <w:rPr>
          <w:rStyle w:val="VerbatimChar"/>
        </w:rPr>
        <w:t xml:space="preserve">IMA_capital = (k × ES + NMRF_charge) × 12.5</w:t>
      </w:r>
      <w:r>
        <w:br/>
      </w:r>
      <w:r>
        <w:rPr>
          <w:rStyle w:val="VerbatimChar"/>
        </w:rPr>
        <w:t xml:space="preserve">SBM_capital = SBM_total × 12.5</w:t>
      </w:r>
      <w:r>
        <w:br/>
      </w:r>
      <w:r>
        <w:rPr>
          <w:rStyle w:val="VerbatimChar"/>
        </w:rPr>
        <w:t xml:space="preserve">Market Risk RWA = max(IMA_capital, SBM_capital)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6. Key Bug Fixes Applied</w:t>
            </w:r>
            <w:r>
              <w:t xml:space="preserve"> </w:t>
            </w:r>
            <w:r>
              <w:t xml:space="preserve">| Fix | Severity | Impact |</w:t>
            </w:r>
            <w:r>
              <w:t xml:space="preserve"> </w:t>
            </w:r>
            <w:r>
              <w:t xml:space="preserve">|—|—|—|</w:t>
            </w:r>
            <w:r>
              <w:t xml:space="preserve"> </w:t>
            </w:r>
            <w:r>
              <w:t xml:space="preserve">| FIX-01 | HIGH | Three-scenario ρ_high/ρ_low corrected (MAR21.6) |</w:t>
            </w:r>
            <w:r>
              <w:t xml:space="preserve"> </w:t>
            </w:r>
            <w:r>
              <w:t xml:space="preserve">| FIX-02 | HIGH | Curvature Ξ_b: removed erroneous sqrt() (MAR23.6) |</w:t>
            </w:r>
            <w:r>
              <w:t xml:space="preserve"> </w:t>
            </w:r>
            <w:r>
              <w:t xml:space="preserve">| FIX-03 | MEDIUM | Removed non-existent MAR21.100 SBM floor |</w:t>
            </w:r>
            <w:r>
              <w:t xml:space="preserve"> </w:t>
            </w:r>
            <w:r>
              <w:t xml:space="preserve">| FIX-04 | MEDIUM | GIRR RW table: 13 → 10 correct tenors (MAR21.44) |</w:t>
            </w:r>
            <w:r>
              <w:t xml:space="preserve"> </w:t>
            </w:r>
            <w:r>
              <w:t xml:space="preserve">| FIX-05 | MEDIUM | ES tail count: ceil() not int() (MAR33.8) |</w:t>
            </w:r>
            <w:r>
              <w:t xml:space="preserve"> </w:t>
            </w:r>
            <w:r>
              <w:t xml:space="preserve">| FIX-06 | MEDIUM | CSR_SEC and CSR_CTP risk weights added (MAR21.73) |</w:t>
            </w:r>
            <w:r>
              <w:t xml:space="preserve"> </w:t>
            </w:r>
            <w:r>
              <w:t xml:space="preserve">| FIX-07 | LOW | NMRF default charge removed (MAR31.14) |</w:t>
            </w:r>
            <w:r>
              <w:t xml:space="preserve"> </w:t>
            </w:r>
            <w:r>
              <w:t xml:space="preserve">| FIX-08 | LOW | Duplicate docstring in FRTBEngine.compute() merged |</w:t>
            </w:r>
            <w:r>
              <w:t xml:space="preserve"> </w:t>
            </w:r>
            <w:r>
              <w:t xml:space="preserve">| FIX-09 | LOW | Shock application: additive not multiplicative |</w:t>
            </w:r>
            <w:r>
              <w:t xml:space="preserve"> </w:t>
            </w:r>
            <w:r>
              <w:t xml:space="preserve">| FIX-10 | LOW | Correlation config in try/finally |</w:t>
            </w:r>
            <w:r>
              <w:t xml:space="preserve"> </w:t>
            </w:r>
            <w:r>
              <w:t xml:space="preserve">| FIX-11 | LOW | GIRR inter-bucket scalar limitation documented |</w:t>
            </w:r>
            <w:r>
              <w:t xml:space="preserve"> </w:t>
            </w:r>
            <w:r>
              <w:t xml:space="preserve">| FIX-12 | LOW | Commodity bucket assignment documented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7. Glossary</w:t>
            </w:r>
            <w:r>
              <w:t xml:space="preserve"> </w:t>
            </w:r>
            <w:r>
              <w:t xml:space="preserve">| Term | Definition |</w:t>
            </w:r>
            <w:r>
              <w:t xml:space="preserve"> </w:t>
            </w:r>
            <w:r>
              <w:t xml:space="preserve">|—|—|</w:t>
            </w:r>
            <w:r>
              <w:t xml:space="preserve"> </w:t>
            </w:r>
            <w:r>
              <w:t xml:space="preserve">| SBM | Sensitivities-Based Method |</w:t>
            </w:r>
            <w:r>
              <w:t xml:space="preserve"> </w:t>
            </w:r>
            <w:r>
              <w:t xml:space="preserve">| IMA | Internal Models Approach |</w:t>
            </w:r>
            <w:r>
              <w:t xml:space="preserve"> </w:t>
            </w:r>
            <w:r>
              <w:t xml:space="preserve">| ES | Expected Shortfall (97.5% confidence) |</w:t>
            </w:r>
            <w:r>
              <w:t xml:space="preserve"> </w:t>
            </w:r>
            <w:r>
              <w:t xml:space="preserve">| NMRF | Non-Modellable Risk Factor |</w:t>
            </w:r>
            <w:r>
              <w:t xml:space="preserve"> </w:t>
            </w:r>
            <w:r>
              <w:t xml:space="preserve">| SSRM | Stressed Scenario Risk Measure |</w:t>
            </w:r>
            <w:r>
              <w:t xml:space="preserve"> </w:t>
            </w:r>
            <w:r>
              <w:t xml:space="preserve">| GIRR | General Interest Rate Risk |</w:t>
            </w:r>
            <w:r>
              <w:t xml:space="preserve"> </w:t>
            </w:r>
            <w:r>
              <w:t xml:space="preserve">| CSR | Credit Spread Risk |</w:t>
            </w:r>
            <w:r>
              <w:t xml:space="preserve"> </w:t>
            </w:r>
            <w:r>
              <w:t xml:space="preserve">| CVR | Curvature Risk (CVR+ and CVR−) |</w:t>
            </w:r>
            <w:r>
              <w:t xml:space="preserve"> </w:t>
            </w:r>
            <w:r>
              <w:t xml:space="preserve">| WS | Weighted Sensitivity = RW × sensitivity |</w:t>
            </w:r>
            <w:r>
              <w:t xml:space="preserve"> </w:t>
            </w:r>
            <w:r>
              <w:t xml:space="preserve">| k | Backtesting capital multiplier (1.50–2.00) |</w:t>
            </w:r>
          </w:p>
        </w:tc>
      </w:tr>
    </w:tbl>
    <w:bookmarkEnd w:id="12"/>
    <w:bookmarkStart w:id="13" w:name="appendix-a-delta-charge-ir-bond-girr"/>
    <w:p>
      <w:pPr>
        <w:pStyle w:val="Heading2"/>
      </w:pPr>
      <w:r>
        <w:t xml:space="preserve">Appendix A — Delta Charge: IR Bond (GIRR)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Long $10M 5-year USD Treasury. Duration ≈ 4.5Y. Sensitivity to 5Y point: +$450,000.</w:t>
      </w:r>
    </w:p>
    <w:p>
      <w:pPr>
        <w:pStyle w:val="SourceCode"/>
      </w:pPr>
      <w:r>
        <w:rPr>
          <w:rStyle w:val="VerbatimChar"/>
        </w:rPr>
        <w:t xml:space="preserve">WS_5Y = RW_5Y × s_5Y = 0.011 × 450,000 = $4,950</w:t>
      </w:r>
      <w:r>
        <w:br/>
      </w:r>
      <w:r>
        <w:rPr>
          <w:rStyle w:val="VerbatimChar"/>
        </w:rPr>
        <w:t xml:space="preserve">K_b (single bucket) = $4,950</w:t>
      </w:r>
      <w:r>
        <w:br/>
      </w:r>
      <w:r>
        <w:rPr>
          <w:rStyle w:val="VerbatimChar"/>
        </w:rPr>
        <w:t xml:space="preserve">Delta_GIRR = $4,950</w:t>
      </w:r>
      <w:r>
        <w:br/>
      </w:r>
      <w:r>
        <w:rPr>
          <w:rStyle w:val="VerbatimChar"/>
        </w:rPr>
        <w:t xml:space="preserve">RWA = 4,950 × 12.5 = $61,875</w:t>
      </w:r>
    </w:p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 Appendix B — Equity Option: Delta + Vega + Curvature</w:t>
            </w:r>
            <w:r>
              <w:t xml:space="preserve"> </w:t>
            </w:r>
            <w:r>
              <w:rPr>
                <w:b/>
                <w:bCs/>
              </w:rPr>
              <w:t xml:space="preserve">Setup:</w:t>
            </w:r>
            <w:r>
              <w:t xml:space="preserve"> </w:t>
            </w:r>
            <w:r>
              <w:t xml:space="preserve">Long AAPL call options. Bucket 5 (Large Cap Developed), RW = 30%.</w:t>
            </w:r>
            <w:r>
              <w:t xml:space="preserve"> </w:t>
            </w:r>
            <w:r>
              <w:t xml:space="preserve">| Sensitivity | Value |</w:t>
            </w:r>
            <w:r>
              <w:t xml:space="preserve"> </w:t>
            </w:r>
            <w:r>
              <w:t xml:space="preserve">|—|—|</w:t>
            </w:r>
            <w:r>
              <w:t xml:space="preserve"> </w:t>
            </w:r>
            <w:r>
              <w:t xml:space="preserve">| Delta | +$500,000 |</w:t>
            </w:r>
            <w:r>
              <w:t xml:space="preserve"> </w:t>
            </w:r>
            <w:r>
              <w:t xml:space="preserve">| Vega | +$150,000 |</w:t>
            </w:r>
            <w:r>
              <w:t xml:space="preserve"> </w:t>
            </w:r>
            <w:r>
              <w:rPr>
                <w:rStyle w:val="VerbatimChar"/>
              </w:rPr>
              <w:t xml:space="preserve">WS_delta = 0.30 × 500,000 = $150,000 WS_vega  = 0.30 × 150,000 = $45,000 Curvature: Long options → positive gamma → CVR typically ≤ 0 → K_curv = 0 Total SBM = 150,000 + 45,000 + 0 = $195,000 RWA = 195,000 × 12.5 = $2,437,500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 Appendix C — IMA Expected Shortfall</w:t>
            </w:r>
            <w:r>
              <w:t xml:space="preserve"> </w:t>
            </w:r>
            <w:r>
              <w:rPr>
                <w:b/>
                <w:bCs/>
              </w:rPr>
              <w:t xml:space="preserve">Setup:</w:t>
            </w:r>
            <w:r>
              <w:t xml:space="preserve"> </w:t>
            </w:r>
            <w:r>
              <w:t xml:space="preserve">250 scenarios. Seven worst losses (USD):</w:t>
            </w:r>
            <w:r>
              <w:t xml:space="preserve"> </w:t>
            </w:r>
            <w:r>
              <w:t xml:space="preserve">| Rank | Loss |</w:t>
            </w:r>
            <w:r>
              <w:t xml:space="preserve"> </w:t>
            </w:r>
            <w:r>
              <w:t xml:space="preserve">|—|—|</w:t>
            </w:r>
            <w:r>
              <w:t xml:space="preserve"> </w:t>
            </w:r>
            <w:r>
              <w:t xml:space="preserve">| 1 | $5,200,000 |</w:t>
            </w:r>
            <w:r>
              <w:t xml:space="preserve"> </w:t>
            </w:r>
            <w:r>
              <w:t xml:space="preserve">| 2 | $4,800,000 |</w:t>
            </w:r>
            <w:r>
              <w:t xml:space="preserve"> </w:t>
            </w:r>
            <w:r>
              <w:t xml:space="preserve">| 3 | $4,200,000 |</w:t>
            </w:r>
            <w:r>
              <w:t xml:space="preserve"> </w:t>
            </w:r>
            <w:r>
              <w:t xml:space="preserve">| 4 | $3,800,000 |</w:t>
            </w:r>
            <w:r>
              <w:t xml:space="preserve"> </w:t>
            </w:r>
            <w:r>
              <w:t xml:space="preserve">| 5 | $3,500,000 |</w:t>
            </w:r>
            <w:r>
              <w:t xml:space="preserve"> </w:t>
            </w:r>
            <w:r>
              <w:t xml:space="preserve">| 6 | $3,100,000 |</w:t>
            </w:r>
            <w:r>
              <w:t xml:space="preserve"> </w:t>
            </w:r>
            <w:r>
              <w:t xml:space="preserve">| 7 | $2,900,000 |</w:t>
            </w:r>
          </w:p>
        </w:tc>
      </w:tr>
    </w:tbl>
    <w:bookmarkEnd w:id="13"/>
    <w:bookmarkStart w:id="14" w:name="appendix-d-nmrf-charge"/>
    <w:p>
      <w:pPr>
        <w:pStyle w:val="Heading2"/>
      </w:pPr>
      <w:r>
        <w:t xml:space="preserve">Appendix D — NMRF Charge</w:t>
      </w:r>
    </w:p>
    <w:p>
      <w:pPr>
        <w:pStyle w:val="FirstParagraph"/>
      </w:pPr>
      <w:r>
        <w:rPr>
          <w:b/>
          <w:bCs/>
        </w:rPr>
        <w:t xml:space="preserve">Setup:</w:t>
      </w:r>
      <w:r>
        <w:t xml:space="preserve"> </w:t>
      </w:r>
      <w:r>
        <w:t xml:space="preserve">Private credit position; issuer has no CDS; only 12 dealer quotes/year → NMRF.</w:t>
      </w:r>
    </w:p>
    <w:p>
      <w:pPr>
        <w:pStyle w:val="SourceCode"/>
      </w:pPr>
      <w:r>
        <w:rPr>
          <w:rStyle w:val="VerbatimChar"/>
        </w:rPr>
        <w:t xml:space="preserve">SSRM = Bank-estimated stressed loss from March 2020 scenario = $850,000</w:t>
      </w:r>
      <w:r>
        <w:br/>
      </w:r>
      <w:r>
        <w:rPr>
          <w:rStyle w:val="VerbatimChar"/>
        </w:rPr>
        <w:t xml:space="preserve">NMRF_capital = $850,000</w:t>
      </w:r>
      <w:r>
        <w:br/>
      </w:r>
      <w:r>
        <w:rPr>
          <w:rStyle w:val="VerbatimChar"/>
        </w:rPr>
        <w:t xml:space="preserve">NMRF_RWA     = $10,625,000</w:t>
      </w:r>
    </w:p>
    <w:bookmarkEnd w:id="14"/>
    <w:bookmarkStart w:id="15" w:name="X7c1694ecb19c07d8b1c0457791670a39b70c165"/>
    <w:p>
      <w:pPr>
        <w:pStyle w:val="Heading2"/>
      </w:pPr>
      <w:r>
        <w:t xml:space="preserve">Old flat proxy (FIX-07 removed): 0.0015 × $20M = $30,000 →</w:t>
      </w:r>
      <w:r>
        <w:t xml:space="preserve"> </w:t>
      </w:r>
      <w:r>
        <w:rPr>
          <w:b/>
          <w:bCs/>
        </w:rPr>
        <w:t xml:space="preserve">understated by 97%</w:t>
      </w:r>
      <w:r>
        <w:t xml:space="preserve">.</w:t>
      </w:r>
    </w:p>
    <w:bookmarkEnd w:id="15"/>
    <w:bookmarkStart w:id="16" w:name="appendix-e-backtesting-traffic-light"/>
    <w:p>
      <w:pPr>
        <w:pStyle w:val="Heading2"/>
      </w:pPr>
      <w:r>
        <w:t xml:space="preserve">Appendix E — Backtesting Traffic Light</w:t>
      </w:r>
    </w:p>
    <w:p>
      <w:pPr>
        <w:pStyle w:val="FirstParagraph"/>
      </w:pPr>
      <w:r>
        <w:t xml:space="preserve">8 exceptions in 250 days → Yellow zone, k = 1.88.</w:t>
      </w:r>
    </w:p>
    <w:p>
      <w:pPr>
        <w:pStyle w:val="SourceCode"/>
      </w:pPr>
      <w:r>
        <w:rPr>
          <w:rStyle w:val="VerbatimChar"/>
        </w:rPr>
        <w:t xml:space="preserve">IMA_capital = 1.88 × ES × 12.5</w:t>
      </w:r>
      <w:r>
        <w:br/>
      </w:r>
      <w:r>
        <w:rPr>
          <w:rStyle w:val="VerbatimChar"/>
        </w:rPr>
        <w:t xml:space="preserve">At 10 exceptions → Red zone → revert to SBM (regulatory floor)</w:t>
      </w:r>
    </w:p>
    <w:p>
      <w:pPr>
        <w:pStyle w:val="FirstParagraph"/>
      </w:pPr>
      <w:r>
        <w:t xml:space="preserve">P&amp;L Attribution (MAR33): Hypothetical P&amp;L must be sufficiently correlated with Risk-Theoretical P&amp;L. Failure → IMA ineligible → SBM applies.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2026-04-18T15:13:59Z</dcterms:created>
  <dcterms:modified xsi:type="dcterms:W3CDTF">2026-04-18T15:13:59Z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