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Prometheus Requirements Documentation</w:t>
      </w:r>
    </w:p>
    <w:p>
      <w:pPr>
        <w:pStyle w:val="Heading1"/>
        <w:jc w:val="left"/>
      </w:pPr>
      <w:r>
        <w:t>PROMETHEUS — Advanced Internal Ratings-Based Approach (A-IRB)</w:t>
      </w:r>
    </w:p>
    <w:p>
      <w:pPr>
        <w:pStyle w:val="Heading2"/>
        <w:jc w:val="left"/>
      </w:pPr>
      <w:r>
        <w:t>Technical Reference: Capital Formula, RWA Drivers &amp; All Functional Terms</w:t>
      </w:r>
    </w:p>
    <w:p>
      <w:r>
        <w:rPr>
          <w:b/>
        </w:rPr>
        <w:t>Regulatory Basis:</w:t>
      </w:r>
      <w:r>
        <w:t xml:space="preserve"> Basel III CRE30–CRE36 (effective January 2023)</w:t>
      </w:r>
    </w:p>
    <w:p>
      <w:r>
        <w:rPr>
          <w:b/>
        </w:rPr>
        <w:t>Engine File:</w:t>
      </w:r>
      <w:r>
        <w:t xml:space="preserve"> `backend/engines/a_irb.py`</w:t>
      </w:r>
    </w:p>
    <w:p>
      <w:r>
        <w:rPr>
          <w:b/>
        </w:rPr>
        <w:t>Prepared:</w:t>
      </w:r>
      <w:r>
        <w:t xml:space="preserve"> April 2026 | </w:t>
      </w:r>
      <w:r>
        <w:rPr>
          <w:b/>
        </w:rPr>
        <w:t>Last Updated:</w:t>
      </w:r>
      <w:r>
        <w:t xml:space="preserve"> Version 3.8 — Apr-27-2026</w:t>
      </w:r>
    </w:p>
    <w:p>
      <w:r>
        <w:rPr>
          <w:b/>
        </w:rPr>
        <w:t>Key Changes (v3.8):</w:t>
      </w:r>
      <w:r>
        <w:t xml:space="preserve"> Fix 7 — Through-the-Cycle (TtC) PD calibration with LRA anchor and 80/20 blend (CRE36.63 / CRE36.77)</w:t>
      </w:r>
    </w:p>
    <w:p>
      <w:pPr>
        <w:pStyle w:val="Heading2"/>
        <w:jc w:val="left"/>
      </w:pPr>
      <w:r>
        <w:t>Table of Contents</w:t>
      </w:r>
    </w:p>
    <w:p>
      <w:pPr>
        <w:pStyle w:val="ListNumber"/>
      </w:pPr>
      <w:r>
        <w:t>[What Is A-IRB?](#1-what-is-a-irb)</w:t>
      </w:r>
    </w:p>
    <w:p>
      <w:pPr>
        <w:pStyle w:val="ListNumber"/>
      </w:pPr>
      <w:r>
        <w:t>[The A-IRB Calculation Pipeline](#2-the-a-irb-calculation-pipeline)</w:t>
      </w:r>
    </w:p>
    <w:p>
      <w:pPr>
        <w:pStyle w:val="ListNumber"/>
      </w:pPr>
      <w:r>
        <w:t>[The Basel Capital Formula — CRE31.4](#3-the-basel-capital-formula--cre314)</w:t>
      </w:r>
    </w:p>
    <w:p>
      <w:pPr>
        <w:pStyle w:val="ListNumber"/>
      </w:pPr>
      <w:r>
        <w:t>[Asset Correlation R — CRE31.5](#4-asset-correlation-r--cre315)</w:t>
      </w:r>
    </w:p>
    <w:p>
      <w:pPr>
        <w:pStyle w:val="ListNumber"/>
      </w:pPr>
      <w:r>
        <w:t>[Maturity Adjustment — CRE31.7](#5-maturity-adjustment--cre317)</w:t>
      </w:r>
    </w:p>
    <w:p>
      <w:pPr>
        <w:pStyle w:val="ListNumber"/>
      </w:pPr>
      <w:r>
        <w:t>[Credit Risk Mitigation (CRM) — CRE32](#6-credit-risk-mitigation-crm--cre32)</w:t>
      </w:r>
    </w:p>
    <w:p>
      <w:pPr>
        <w:pStyle w:val="ListNumber"/>
      </w:pPr>
      <w:r>
        <w:t>[Expected Loss and Provisions — CRE35](#7-expected-loss-and-provisions--cre35)</w:t>
      </w:r>
    </w:p>
    <w:p>
      <w:pPr>
        <w:pStyle w:val="ListNumber"/>
      </w:pPr>
      <w:r>
        <w:t>[Double-Default Framework — CRE22](#8-double-default-framework--cre22)</w:t>
      </w:r>
    </w:p>
    <w:p>
      <w:pPr>
        <w:pStyle w:val="ListNumber"/>
      </w:pPr>
      <w:r>
        <w:t>[Macroeconomic Overlay (Pillar 2 / ICAAP)](#9-macroeconomic-overlay-pillar-2--icaap)</w:t>
      </w:r>
    </w:p>
    <w:p>
      <w:pPr>
        <w:pStyle w:val="ListNumber"/>
      </w:pPr>
      <w:r>
        <w:t>[Dynamic Correlation Model (Pillar 2)](#10-dynamic-correlation-model-pillar-2)</w:t>
      </w:r>
    </w:p>
    <w:p>
      <w:pPr>
        <w:pStyle w:val="ListNumber"/>
      </w:pPr>
      <w:r>
        <w:t>[Stressed vs. Baseline Regime](#11-stressed-vs-baseline-regime)</w:t>
      </w:r>
    </w:p>
    <w:p>
      <w:pPr>
        <w:pStyle w:val="ListNumber"/>
      </w:pPr>
      <w:r>
        <w:t>[ESG / Climate Transition Risk — CRR3 Art. 87a](#12-esg--climate-transition-risk--crr3-art-87a)</w:t>
      </w:r>
    </w:p>
    <w:p>
      <w:pPr>
        <w:pStyle w:val="ListNumber"/>
      </w:pPr>
      <w:r>
        <w:t>[SA Output Floor — CRE20.4 / Basel IV](#13-sa-output-floor--cre204--basel-iv)</w:t>
      </w:r>
    </w:p>
    <w:p>
      <w:pPr>
        <w:pStyle w:val="ListNumber"/>
      </w:pPr>
      <w:r>
        <w:t>[Sensitivity Analysis — RWA Greeks](#14-sensitivity-analysis--rwa-greeks)</w:t>
      </w:r>
    </w:p>
    <w:p>
      <w:pPr>
        <w:pStyle w:val="ListNumber"/>
      </w:pPr>
      <w:r>
        <w:t>[Live Macro Data Feed — USMacroDataFeed](#15-live-macro-data-feed--usmacrodatafeed)</w:t>
      </w:r>
    </w:p>
    <w:p>
      <w:pPr>
        <w:pStyle w:val="ListNumber"/>
      </w:pPr>
      <w:r>
        <w:t>[Configuration Parameters](#16-configuration-parameters)</w:t>
      </w:r>
    </w:p>
    <w:p>
      <w:pPr>
        <w:pStyle w:val="ListNumber"/>
      </w:pPr>
      <w:r>
        <w:t>[Complete Glossary](#17-complete-glossary)</w:t>
      </w:r>
    </w:p>
    <w:p>
      <w:pPr>
        <w:pStyle w:val="ListNumber"/>
      </w:pPr>
      <w:r>
        <w:t>[Appendix A: Step-by-Step Numeric Example — Corporate Loan (No CRM)](#appendix-a-step-by-step-numeric-example--corporate-loan-no-crm)</w:t>
      </w:r>
    </w:p>
    <w:p>
      <w:pPr>
        <w:pStyle w:val="ListNumber"/>
      </w:pPr>
      <w:r>
        <w:t>[Appendix B: Numeric Example — Collateralised Real Estate Loan](#appendix-b-numeric-example--collateralised-real-estate-loan)</w:t>
      </w:r>
    </w:p>
    <w:p>
      <w:pPr>
        <w:pStyle w:val="ListNumber"/>
      </w:pPr>
      <w:r>
        <w:t>[Appendix C: Numeric Example — Guaranteed Exposure (Split-K Method)](#appendix-c-numeric-example--guaranteed-exposure-split-k-method)</w:t>
      </w:r>
    </w:p>
    <w:p>
      <w:pPr>
        <w:pStyle w:val="ListNumber"/>
      </w:pPr>
      <w:r>
        <w:t>[Appendix D: Numeric Example — Retail Mortgage Portfolio](#appendix-d-numeric-example--retail-mortgage-portfolio)</w:t>
      </w:r>
    </w:p>
    <w:p>
      <w:pPr>
        <w:pStyle w:val="ListNumber"/>
      </w:pPr>
      <w:r>
        <w:t>[Appendix E: Numeric Example — SME Corporate with CDS Double-Default](#appendix-e-numeric-example--sme-corporate-with-cds-double-default)</w:t>
      </w:r>
    </w:p>
    <w:p>
      <w:pPr>
        <w:pStyle w:val="ListNumber"/>
      </w:pPr>
      <w:r>
        <w:t>[Appendix F: Cross-Asset Comparison — All Asset Classes](#appendix-f-cross-asset-comparison--all-asset-classes)</w:t>
      </w:r>
    </w:p>
    <w:p>
      <w:pPr>
        <w:pStyle w:val="Heading2"/>
        <w:jc w:val="left"/>
      </w:pPr>
      <w:r>
        <w:t>1. What Is A-IRB?</w:t>
      </w:r>
    </w:p>
    <w:p>
      <w:r>
        <w:t xml:space="preserve">The </w:t>
      </w:r>
      <w:r>
        <w:rPr>
          <w:b/>
        </w:rPr>
        <w:t>Advanced Internal Ratings-Based (A-IRB) Approach</w:t>
      </w:r>
      <w:r>
        <w:t xml:space="preserve"> is the most sophisticated of the three Basel III credit-risk capital frameworks. It permits banks to use their own internally estimated risk parameters — subject to supervisory approval — to calculate minimum Pillar 1 capital requirements for Banking Book credit exposures.</w:t>
      </w:r>
    </w:p>
    <w:p>
      <w:pPr>
        <w:pStyle w:val="Heading3"/>
        <w:jc w:val="left"/>
      </w:pPr>
      <w:r>
        <w:t>Why G-SIBs Use A-IRB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Approach</w:t>
            </w:r>
          </w:p>
        </w:tc>
        <w:tc>
          <w:tcPr>
            <w:tcW w:type="dxa" w:w="1728"/>
          </w:tcPr>
          <w:p>
            <w:r>
              <w:rPr>
                <w:b/>
                <w:sz w:val="20"/>
              </w:rPr>
              <w:t>PD</w:t>
            </w:r>
          </w:p>
        </w:tc>
        <w:tc>
          <w:tcPr>
            <w:tcW w:type="dxa" w:w="1728"/>
          </w:tcPr>
          <w:p>
            <w:r>
              <w:rPr>
                <w:b/>
                <w:sz w:val="20"/>
              </w:rPr>
              <w:t>LGD</w:t>
            </w:r>
          </w:p>
        </w:tc>
        <w:tc>
          <w:tcPr>
            <w:tcW w:type="dxa" w:w="1728"/>
          </w:tcPr>
          <w:p>
            <w:r>
              <w:rPr>
                <w:b/>
                <w:sz w:val="20"/>
              </w:rPr>
              <w:t>EAD</w:t>
            </w:r>
          </w:p>
        </w:tc>
        <w:tc>
          <w:tcPr>
            <w:tcW w:type="dxa" w:w="1728"/>
          </w:tcPr>
          <w:p>
            <w:r>
              <w:rPr>
                <w:b/>
                <w:sz w:val="20"/>
              </w:rPr>
              <w:t>Capital Sensitivity</w:t>
            </w:r>
          </w:p>
        </w:tc>
      </w:tr>
      <w:tr>
        <w:tc>
          <w:tcPr>
            <w:tcW w:type="dxa" w:w="1728"/>
          </w:tcPr>
          <w:p>
            <w:r>
              <w:t>**Standardised (SA)**</w:t>
            </w:r>
          </w:p>
        </w:tc>
        <w:tc>
          <w:tcPr>
            <w:tcW w:type="dxa" w:w="1728"/>
          </w:tcPr>
          <w:p>
            <w:r>
              <w:t>Supervisor-assigned risk weights</w:t>
            </w:r>
          </w:p>
        </w:tc>
        <w:tc>
          <w:tcPr>
            <w:tcW w:type="dxa" w:w="1728"/>
          </w:tcPr>
          <w:p>
            <w:r>
              <w:t>Fixed</w:t>
            </w:r>
          </w:p>
        </w:tc>
        <w:tc>
          <w:tcPr>
            <w:tcW w:type="dxa" w:w="1728"/>
          </w:tcPr>
          <w:p>
            <w:r>
              <w:t>Fixed</w:t>
            </w:r>
          </w:p>
        </w:tc>
        <w:tc>
          <w:tcPr>
            <w:tcW w:type="dxa" w:w="1728"/>
          </w:tcPr>
          <w:p>
            <w:r>
              <w:t>Blunt; no obligor differentiation</w:t>
            </w:r>
          </w:p>
        </w:tc>
      </w:tr>
      <w:tr>
        <w:tc>
          <w:tcPr>
            <w:tcW w:type="dxa" w:w="1728"/>
          </w:tcPr>
          <w:p>
            <w:r>
              <w:t>**Foundation IRB (F-IRB)**</w:t>
            </w:r>
          </w:p>
        </w:tc>
        <w:tc>
          <w:tcPr>
            <w:tcW w:type="dxa" w:w="1728"/>
          </w:tcPr>
          <w:p>
            <w:r>
              <w:t>Bank estimates</w:t>
            </w:r>
          </w:p>
        </w:tc>
        <w:tc>
          <w:tcPr>
            <w:tcW w:type="dxa" w:w="1728"/>
          </w:tcPr>
          <w:p>
            <w:r>
              <w:t>Supervisor-prescribed</w:t>
            </w:r>
          </w:p>
        </w:tc>
        <w:tc>
          <w:tcPr>
            <w:tcW w:type="dxa" w:w="1728"/>
          </w:tcPr>
          <w:p>
            <w:r>
              <w:t>Supervisor-prescribed</w:t>
            </w:r>
          </w:p>
        </w:tc>
        <w:tc>
          <w:tcPr>
            <w:tcW w:type="dxa" w:w="1728"/>
          </w:tcPr>
          <w:p>
            <w:r>
              <w:t>Moderate</w:t>
            </w:r>
          </w:p>
        </w:tc>
      </w:tr>
      <w:tr>
        <w:tc>
          <w:tcPr>
            <w:tcW w:type="dxa" w:w="1728"/>
          </w:tcPr>
          <w:p>
            <w:r>
              <w:t>**Advanced IRB (A-IRB)**</w:t>
            </w:r>
          </w:p>
        </w:tc>
        <w:tc>
          <w:tcPr>
            <w:tcW w:type="dxa" w:w="1728"/>
          </w:tcPr>
          <w:p>
            <w:r>
              <w:t>**Bank estimates**</w:t>
            </w:r>
          </w:p>
        </w:tc>
        <w:tc>
          <w:tcPr>
            <w:tcW w:type="dxa" w:w="1728"/>
          </w:tcPr>
          <w:p>
            <w:r>
              <w:t>**Bank estimates**</w:t>
            </w:r>
          </w:p>
        </w:tc>
        <w:tc>
          <w:tcPr>
            <w:tcW w:type="dxa" w:w="1728"/>
          </w:tcPr>
          <w:p>
            <w:r>
              <w:t>**Bank estimates**</w:t>
            </w:r>
          </w:p>
        </w:tc>
        <w:tc>
          <w:tcPr>
            <w:tcW w:type="dxa" w:w="1728"/>
          </w:tcPr>
          <w:p>
            <w:r>
              <w:t>**Highest precision; maximum capital efficiency**</w:t>
            </w:r>
          </w:p>
        </w:tc>
      </w:tr>
    </w:tbl>
    <w:p>
      <w:r>
        <w:t xml:space="preserve">A-IRB is </w:t>
      </w:r>
      <w:r>
        <w:rPr>
          <w:b/>
        </w:rPr>
        <w:t>only applicable to the Banking Book</w:t>
      </w:r>
      <w:r>
        <w:t xml:space="preserve"> (loans, revolvers, guarantees, mortgages). Trading book exposures use CCR/IMM frameworks.</w:t>
      </w:r>
    </w:p>
    <w:p>
      <w:r>
        <w:rPr>
          <w:b/>
        </w:rPr>
        <w:t>Regulatory scope</w:t>
      </w:r>
      <w:r>
        <w:t xml:space="preserve"> (CRE30–CRE36):</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Standard</w:t>
            </w:r>
          </w:p>
        </w:tc>
        <w:tc>
          <w:tcPr>
            <w:tcW w:type="dxa" w:w="4320"/>
          </w:tcPr>
          <w:p>
            <w:r>
              <w:rPr>
                <w:b/>
                <w:sz w:val="20"/>
              </w:rPr>
              <w:t>Content</w:t>
            </w:r>
          </w:p>
        </w:tc>
      </w:tr>
      <w:tr>
        <w:tc>
          <w:tcPr>
            <w:tcW w:type="dxa" w:w="4320"/>
          </w:tcPr>
          <w:p>
            <w:r>
              <w:t>CRE30</w:t>
            </w:r>
          </w:p>
        </w:tc>
        <w:tc>
          <w:tcPr>
            <w:tcW w:type="dxa" w:w="4320"/>
          </w:tcPr>
          <w:p>
            <w:r>
              <w:t>IRB overview and asset-class definitions</w:t>
            </w:r>
          </w:p>
        </w:tc>
      </w:tr>
      <w:tr>
        <w:tc>
          <w:tcPr>
            <w:tcW w:type="dxa" w:w="4320"/>
          </w:tcPr>
          <w:p>
            <w:r>
              <w:t>CRE31</w:t>
            </w:r>
          </w:p>
        </w:tc>
        <w:tc>
          <w:tcPr>
            <w:tcW w:type="dxa" w:w="4320"/>
          </w:tcPr>
          <w:p>
            <w:r>
              <w:t>Corporate/Bank/Sovereign risk-weight formula</w:t>
            </w:r>
          </w:p>
        </w:tc>
      </w:tr>
      <w:tr>
        <w:tc>
          <w:tcPr>
            <w:tcW w:type="dxa" w:w="4320"/>
          </w:tcPr>
          <w:p>
            <w:r>
              <w:t>CRE32</w:t>
            </w:r>
          </w:p>
        </w:tc>
        <w:tc>
          <w:tcPr>
            <w:tcW w:type="dxa" w:w="4320"/>
          </w:tcPr>
          <w:p>
            <w:r>
              <w:t>Credit Risk Mitigation (collateral, guarantees, CDS)</w:t>
            </w:r>
          </w:p>
        </w:tc>
      </w:tr>
      <w:tr>
        <w:tc>
          <w:tcPr>
            <w:tcW w:type="dxa" w:w="4320"/>
          </w:tcPr>
          <w:p>
            <w:r>
              <w:t>CRE33</w:t>
            </w:r>
          </w:p>
        </w:tc>
        <w:tc>
          <w:tcPr>
            <w:tcW w:type="dxa" w:w="4320"/>
          </w:tcPr>
          <w:p>
            <w:r>
              <w:t>Retail IRB (mortgage, revolving, other)</w:t>
            </w:r>
          </w:p>
        </w:tc>
      </w:tr>
      <w:tr>
        <w:tc>
          <w:tcPr>
            <w:tcW w:type="dxa" w:w="4320"/>
          </w:tcPr>
          <w:p>
            <w:r>
              <w:t>CRE35</w:t>
            </w:r>
          </w:p>
        </w:tc>
        <w:tc>
          <w:tcPr>
            <w:tcW w:type="dxa" w:w="4320"/>
          </w:tcPr>
          <w:p>
            <w:r>
              <w:t>Expected Loss and Provisions treatment</w:t>
            </w:r>
          </w:p>
        </w:tc>
      </w:tr>
      <w:tr>
        <w:tc>
          <w:tcPr>
            <w:tcW w:type="dxa" w:w="4320"/>
          </w:tcPr>
          <w:p>
            <w:r>
              <w:t>CRE36</w:t>
            </w:r>
          </w:p>
        </w:tc>
        <w:tc>
          <w:tcPr>
            <w:tcW w:type="dxa" w:w="4320"/>
          </w:tcPr>
          <w:p>
            <w:r>
              <w:t>LGD and EAD estimation standards</w:t>
            </w:r>
          </w:p>
        </w:tc>
      </w:tr>
    </w:tbl>
    <w:p>
      <w:pPr>
        <w:pStyle w:val="Heading2"/>
        <w:jc w:val="left"/>
      </w:pPr>
      <w:r>
        <w:t>2. The A-IRB Calculation Pipeline</w:t>
      </w:r>
    </w:p>
    <w:p>
      <w:r>
        <w:t>Every exposure flows through these steps in the PROMETHEUS engine:</w:t>
      </w:r>
    </w:p>
    <w:p>
      <w:pPr>
        <w:shd w:fill="F5F5F5"/>
      </w:pPr>
      <w:r>
        <w:rPr>
          <w:rFonts w:ascii="Courier New" w:hAnsi="Courier New"/>
          <w:color w:val="404040"/>
          <w:sz w:val="16"/>
        </w:rPr>
        <w:t>Banking Book Exposure (BankingBookExposure)</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1: Input Validation &amp; PD Resolution   │</w:t>
      </w:r>
    </w:p>
    <w:p>
      <w:pPr>
        <w:shd w:fill="F5F5F5"/>
      </w:pPr>
      <w:r>
        <w:rPr>
          <w:rFonts w:ascii="Courier New" w:hAnsi="Courier New"/>
          <w:color w:val="404040"/>
          <w:sz w:val="16"/>
        </w:rPr>
        <w:t>│  • Validate PD ∈ [0,1], LGD ∈ [0,1], EAD≥0 │</w:t>
      </w:r>
    </w:p>
    <w:p>
      <w:pPr>
        <w:shd w:fill="F5F5F5"/>
      </w:pPr>
      <w:r>
        <w:rPr>
          <w:rFonts w:ascii="Courier New" w:hAnsi="Courier New"/>
          <w:color w:val="404040"/>
          <w:sz w:val="16"/>
        </w:rPr>
        <w:t>│  • Apply PD floor (0.03% for corp/bank)     │</w:t>
      </w:r>
    </w:p>
    <w:p>
      <w:pPr>
        <w:shd w:fill="F5F5F5"/>
      </w:pPr>
      <w:r>
        <w:rPr>
          <w:rFonts w:ascii="Courier New" w:hAnsi="Courier New"/>
          <w:color w:val="404040"/>
          <w:sz w:val="16"/>
        </w:rPr>
        <w:t>│  • Resolve PD from term structure if set    │</w:t>
      </w:r>
    </w:p>
    <w:p>
      <w:pPr>
        <w:shd w:fill="F5F5F5"/>
      </w:pPr>
      <w:r>
        <w:rPr>
          <w:rFonts w:ascii="Courier New" w:hAnsi="Courier New"/>
          <w:color w:val="404040"/>
          <w:sz w:val="16"/>
        </w:rPr>
        <w:t>│  • CRE31.8: Cap M at 1Y for margined trades │</w:t>
      </w:r>
    </w:p>
    <w:p>
      <w:pPr>
        <w:shd w:fill="F5F5F5"/>
      </w:pPr>
      <w:r>
        <w:rPr>
          <w:rFonts w:ascii="Courier New" w:hAnsi="Courier New"/>
          <w:color w:val="404040"/>
          <w:sz w:val="16"/>
        </w:rPr>
        <w:t>└──────────────────┬──────────────────────────┘</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2: ESG / Climate PD Uplift (CRR3)     │</w:t>
      </w:r>
    </w:p>
    <w:p>
      <w:pPr>
        <w:shd w:fill="F5F5F5"/>
      </w:pPr>
      <w:r>
        <w:rPr>
          <w:rFonts w:ascii="Courier New" w:hAnsi="Courier New"/>
          <w:color w:val="404040"/>
          <w:sz w:val="16"/>
        </w:rPr>
        <w:t>│  • PD += brown_factor × uplift_rate         │</w:t>
      </w:r>
    </w:p>
    <w:p>
      <w:pPr>
        <w:shd w:fill="F5F5F5"/>
      </w:pPr>
      <w:r>
        <w:rPr>
          <w:rFonts w:ascii="Courier New" w:hAnsi="Courier New"/>
          <w:color w:val="404040"/>
          <w:sz w:val="16"/>
        </w:rPr>
        <w:t>└──────────────────┬──────────────────────────┘</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3: Market Regime Stress (if enabled)  │</w:t>
      </w:r>
    </w:p>
    <w:p>
      <w:pPr>
        <w:shd w:fill="F5F5F5"/>
      </w:pPr>
      <w:r>
        <w:rPr>
          <w:rFonts w:ascii="Courier New" w:hAnsi="Courier New"/>
          <w:color w:val="404040"/>
          <w:sz w:val="16"/>
        </w:rPr>
        <w:t>│  • PD × pd_stress_factor[asset_class]       │</w:t>
      </w:r>
    </w:p>
    <w:p>
      <w:pPr>
        <w:shd w:fill="F5F5F5"/>
      </w:pPr>
      <w:r>
        <w:rPr>
          <w:rFonts w:ascii="Courier New" w:hAnsi="Courier New"/>
          <w:color w:val="404040"/>
          <w:sz w:val="16"/>
        </w:rPr>
        <w:t>│  • LGD × lgd_stress_factor[asset_class]     │</w:t>
      </w:r>
    </w:p>
    <w:p>
      <w:pPr>
        <w:shd w:fill="F5F5F5"/>
      </w:pPr>
      <w:r>
        <w:rPr>
          <w:rFonts w:ascii="Courier New" w:hAnsi="Courier New"/>
          <w:color w:val="404040"/>
          <w:sz w:val="16"/>
        </w:rPr>
        <w:t>└──────────────────┬──────────────────────────┘</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4: Credit Risk Mitigation Chain       │</w:t>
      </w:r>
    </w:p>
    <w:p>
      <w:pPr>
        <w:shd w:fill="F5F5F5"/>
      </w:pPr>
      <w:r>
        <w:rPr>
          <w:rFonts w:ascii="Courier New" w:hAnsi="Courier New"/>
          <w:color w:val="404040"/>
          <w:sz w:val="16"/>
        </w:rPr>
        <w:t>│  (A) Retail deposit netting → EAD reduction │</w:t>
      </w:r>
    </w:p>
    <w:p>
      <w:pPr>
        <w:shd w:fill="F5F5F5"/>
      </w:pPr>
      <w:r>
        <w:rPr>
          <w:rFonts w:ascii="Courier New" w:hAnsi="Courier New"/>
          <w:color w:val="404040"/>
          <w:sz w:val="16"/>
        </w:rPr>
        <w:t>│  (B) Funded collateral → LGD* (CRE32.10)   │</w:t>
      </w:r>
    </w:p>
    <w:p>
      <w:pPr>
        <w:shd w:fill="F5F5F5"/>
      </w:pPr>
      <w:r>
        <w:rPr>
          <w:rFonts w:ascii="Courier New" w:hAnsi="Courier New"/>
          <w:color w:val="404040"/>
          <w:sz w:val="16"/>
        </w:rPr>
        <w:t>│  (C) Guarantee → Split-K (CRE32.24 FIX-04) │</w:t>
      </w:r>
    </w:p>
    <w:p>
      <w:pPr>
        <w:shd w:fill="F5F5F5"/>
      </w:pPr>
      <w:r>
        <w:rPr>
          <w:rFonts w:ascii="Courier New" w:hAnsi="Courier New"/>
          <w:color w:val="404040"/>
          <w:sz w:val="16"/>
        </w:rPr>
        <w:t>│  (D) CDS → Double-default PD (CRE22.10)    │</w:t>
      </w:r>
    </w:p>
    <w:p>
      <w:pPr>
        <w:shd w:fill="F5F5F5"/>
      </w:pPr>
      <w:r>
        <w:rPr>
          <w:rFonts w:ascii="Courier New" w:hAnsi="Courier New"/>
          <w:color w:val="404040"/>
          <w:sz w:val="16"/>
        </w:rPr>
        <w:t>└──────────────────┬──────────────────────────┘</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5: Asset Correlation R (CRE31.5)      │</w:t>
      </w:r>
    </w:p>
    <w:p>
      <w:pPr>
        <w:shd w:fill="F5F5F5"/>
      </w:pPr>
      <w:r>
        <w:rPr>
          <w:rFonts w:ascii="Courier New" w:hAnsi="Courier New"/>
          <w:color w:val="404040"/>
          <w:sz w:val="16"/>
        </w:rPr>
        <w:t>│  • R_regulatory = Basel formula (Pillar 1)  │</w:t>
      </w:r>
    </w:p>
    <w:p>
      <w:pPr>
        <w:shd w:fill="F5F5F5"/>
      </w:pPr>
      <w:r>
        <w:rPr>
          <w:rFonts w:ascii="Courier New" w:hAnsi="Courier New"/>
          <w:color w:val="404040"/>
          <w:sz w:val="16"/>
        </w:rPr>
        <w:t>│  • R_internal   = sector/conc overlay (P2)  │</w:t>
      </w:r>
    </w:p>
    <w:p>
      <w:pPr>
        <w:shd w:fill="F5F5F5"/>
      </w:pPr>
      <w:r>
        <w:rPr>
          <w:rFonts w:ascii="Courier New" w:hAnsi="Courier New"/>
          <w:color w:val="404040"/>
          <w:sz w:val="16"/>
        </w:rPr>
        <w:t>│  • Capital always uses R_regulatory         │</w:t>
      </w:r>
    </w:p>
    <w:p>
      <w:pPr>
        <w:shd w:fill="F5F5F5"/>
      </w:pPr>
      <w:r>
        <w:rPr>
          <w:rFonts w:ascii="Courier New" w:hAnsi="Courier New"/>
          <w:color w:val="404040"/>
          <w:sz w:val="16"/>
        </w:rPr>
        <w:t>└──────────────────┬──────────────────────────┘</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6: Maturity Adjustment b (CRE31.7)    │</w:t>
      </w:r>
    </w:p>
    <w:p>
      <w:pPr>
        <w:shd w:fill="F5F5F5"/>
      </w:pPr>
      <w:r>
        <w:rPr>
          <w:rFonts w:ascii="Courier New" w:hAnsi="Courier New"/>
          <w:color w:val="404040"/>
          <w:sz w:val="16"/>
        </w:rPr>
        <w:t>│  • b(PD) = (0.11852 − 0.05478×ln(PD))²     │</w:t>
      </w:r>
    </w:p>
    <w:p>
      <w:pPr>
        <w:shd w:fill="F5F5F5"/>
      </w:pPr>
      <w:r>
        <w:rPr>
          <w:rFonts w:ascii="Courier New" w:hAnsi="Courier New"/>
          <w:color w:val="404040"/>
          <w:sz w:val="16"/>
        </w:rPr>
        <w:t>│  • Retail: b = 0, M = 1Y (no adj)          │</w:t>
      </w:r>
    </w:p>
    <w:p>
      <w:pPr>
        <w:shd w:fill="F5F5F5"/>
      </w:pPr>
      <w:r>
        <w:rPr>
          <w:rFonts w:ascii="Courier New" w:hAnsi="Courier New"/>
          <w:color w:val="404040"/>
          <w:sz w:val="16"/>
        </w:rPr>
        <w:t>└──────────────────┬──────────────────────────┘</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7: Capital Requirement K (CRE31.4)    │</w:t>
      </w:r>
    </w:p>
    <w:p>
      <w:pPr>
        <w:shd w:fill="F5F5F5"/>
      </w:pPr>
      <w:r>
        <w:rPr>
          <w:rFonts w:ascii="Courier New" w:hAnsi="Courier New"/>
          <w:color w:val="404040"/>
          <w:sz w:val="16"/>
        </w:rPr>
        <w:t>│  • K = [LGD×N(z) − PD×LGD] × MA           │</w:t>
      </w:r>
    </w:p>
    <w:p>
      <w:pPr>
        <w:shd w:fill="F5F5F5"/>
      </w:pPr>
      <w:r>
        <w:rPr>
          <w:rFonts w:ascii="Courier New" w:hAnsi="Courier New"/>
          <w:color w:val="404040"/>
          <w:sz w:val="16"/>
        </w:rPr>
        <w:t>│  • z = (N⁻¹(PD) + √R×N⁻¹(0.999))/√(1-R)  │</w:t>
      </w:r>
    </w:p>
    <w:p>
      <w:pPr>
        <w:shd w:fill="F5F5F5"/>
      </w:pPr>
      <w:r>
        <w:rPr>
          <w:rFonts w:ascii="Courier New" w:hAnsi="Courier New"/>
          <w:color w:val="404040"/>
          <w:sz w:val="16"/>
        </w:rPr>
        <w:t>│  • MA = (1+(M-2.5)×b)/(1-1.5×b)           │</w:t>
      </w:r>
    </w:p>
    <w:p>
      <w:pPr>
        <w:shd w:fill="F5F5F5"/>
      </w:pPr>
      <w:r>
        <w:rPr>
          <w:rFonts w:ascii="Courier New" w:hAnsi="Courier New"/>
          <w:color w:val="404040"/>
          <w:sz w:val="16"/>
        </w:rPr>
        <w:t>└──────────────────┬──────────────────────────┘</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8: RWA = K × 12.5 × EAD              │</w:t>
      </w:r>
    </w:p>
    <w:p>
      <w:pPr>
        <w:shd w:fill="F5F5F5"/>
      </w:pPr>
      <w:r>
        <w:rPr>
          <w:rFonts w:ascii="Courier New" w:hAnsi="Courier New"/>
          <w:color w:val="404040"/>
          <w:sz w:val="16"/>
        </w:rPr>
        <w:t>└──────────────────┬──────────────────────────┘</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9: EL and Provisions (CRE35)          │</w:t>
      </w:r>
    </w:p>
    <w:p>
      <w:pPr>
        <w:shd w:fill="F5F5F5"/>
      </w:pPr>
      <w:r>
        <w:rPr>
          <w:rFonts w:ascii="Courier New" w:hAnsi="Courier New"/>
          <w:color w:val="404040"/>
          <w:sz w:val="16"/>
        </w:rPr>
        <w:t>│  • EL = PD × LGD × EAD                     │</w:t>
      </w:r>
    </w:p>
    <w:p>
      <w:pPr>
        <w:shd w:fill="F5F5F5"/>
      </w:pPr>
      <w:r>
        <w:rPr>
          <w:rFonts w:ascii="Courier New" w:hAnsi="Courier New"/>
          <w:color w:val="404040"/>
          <w:sz w:val="16"/>
        </w:rPr>
        <w:t>│  • Shortfall = max(EL − Provisions, 0)      │</w:t>
      </w:r>
    </w:p>
    <w:p>
      <w:pPr>
        <w:shd w:fill="F5F5F5"/>
      </w:pPr>
      <w:r>
        <w:rPr>
          <w:rFonts w:ascii="Courier New" w:hAnsi="Courier New"/>
          <w:color w:val="404040"/>
          <w:sz w:val="16"/>
        </w:rPr>
        <w:t>│  • Shortfall deducted from CET1             │</w:t>
      </w:r>
    </w:p>
    <w:p>
      <w:pPr>
        <w:shd w:fill="F5F5F5"/>
      </w:pPr>
      <w:r>
        <w:rPr>
          <w:rFonts w:ascii="Courier New" w:hAnsi="Courier New"/>
          <w:color w:val="404040"/>
          <w:sz w:val="16"/>
        </w:rPr>
        <w:t>│  • Excess (up to 0.6% RWA) added to Tier 2 │</w:t>
      </w:r>
    </w:p>
    <w:p>
      <w:pPr>
        <w:shd w:fill="F5F5F5"/>
      </w:pPr>
      <w:r>
        <w:rPr>
          <w:rFonts w:ascii="Courier New" w:hAnsi="Courier New"/>
          <w:color w:val="404040"/>
          <w:sz w:val="16"/>
        </w:rPr>
        <w:t>└──────────────────┬──────────────────────────┘</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w:t>
      </w:r>
    </w:p>
    <w:p>
      <w:pPr>
        <w:shd w:fill="F5F5F5"/>
      </w:pPr>
      <w:r>
        <w:rPr>
          <w:rFonts w:ascii="Courier New" w:hAnsi="Courier New"/>
          <w:color w:val="404040"/>
          <w:sz w:val="16"/>
        </w:rPr>
        <w:t>│  Step 10: SA Output Floor (CRE20.4)         │</w:t>
      </w:r>
    </w:p>
    <w:p>
      <w:pPr>
        <w:shd w:fill="F5F5F5"/>
      </w:pPr>
      <w:r>
        <w:rPr>
          <w:rFonts w:ascii="Courier New" w:hAnsi="Courier New"/>
          <w:color w:val="404040"/>
          <w:sz w:val="16"/>
        </w:rPr>
        <w:t>│  • Floor = 72.5% × SA RWA                  │</w:t>
      </w:r>
    </w:p>
    <w:p>
      <w:pPr>
        <w:shd w:fill="F5F5F5"/>
      </w:pPr>
      <w:r>
        <w:rPr>
          <w:rFonts w:ascii="Courier New" w:hAnsi="Courier New"/>
          <w:color w:val="404040"/>
          <w:sz w:val="16"/>
        </w:rPr>
        <w:t>│  • If IRB RWA &lt; floor → binding uplift      │</w:t>
      </w:r>
    </w:p>
    <w:p>
      <w:pPr>
        <w:shd w:fill="F5F5F5"/>
      </w:pPr>
      <w:r>
        <w:rPr>
          <w:rFonts w:ascii="Courier New" w:hAnsi="Courier New"/>
          <w:color w:val="404040"/>
          <w:sz w:val="16"/>
        </w:rPr>
        <w:t>└──────────────────┘</w:t>
      </w:r>
    </w:p>
    <w:p>
      <w:pPr>
        <w:pStyle w:val="Heading2"/>
        <w:jc w:val="left"/>
      </w:pPr>
      <w:r>
        <w:t>3. The Basel Capital Formula — CRE31.4</w:t>
      </w:r>
    </w:p>
    <w:p>
      <w:r>
        <w:t xml:space="preserve">This is the </w:t>
      </w:r>
      <w:r>
        <w:rPr>
          <w:b/>
        </w:rPr>
        <w:t>single most important equation</w:t>
      </w:r>
      <w:r>
        <w:t xml:space="preserve"> in the entire A-IRB framework. It converts PD, LGD, maturity, and asset correlation into a capital requirement K (expressed as a fraction of EAD).</w:t>
      </w:r>
    </w:p>
    <w:p>
      <w:pPr>
        <w:pStyle w:val="Heading3"/>
        <w:jc w:val="left"/>
      </w:pPr>
      <w:r>
        <w:t>3.1 The Full Formula</w:t>
      </w:r>
    </w:p>
    <w:p>
      <w:pPr>
        <w:shd w:fill="F5F5F5"/>
      </w:pPr>
      <w:r>
        <w:rPr>
          <w:rFonts w:ascii="Courier New" w:hAnsi="Courier New"/>
          <w:color w:val="404040"/>
          <w:sz w:val="16"/>
        </w:rPr>
        <w:t>Step 1 — Vasicek conditional default probability:</w:t>
      </w:r>
    </w:p>
    <w:p>
      <w:pPr>
        <w:shd w:fill="F5F5F5"/>
      </w:pPr>
      <w:r>
        <w:rPr>
          <w:rFonts w:ascii="Courier New" w:hAnsi="Courier New"/>
          <w:color w:val="404040"/>
          <w:sz w:val="16"/>
        </w:rPr>
        <w:t xml:space="preserve">  z = [N⁻¹(PD) + √R × N⁻¹(0.999)] / √(1 − R)</w:t>
      </w:r>
    </w:p>
    <w:p>
      <w:pPr>
        <w:shd w:fill="F5F5F5"/>
      </w:pPr>
      <w:r>
        <w:rPr>
          <w:rFonts w:ascii="Courier New" w:hAnsi="Courier New"/>
          <w:color w:val="404040"/>
          <w:sz w:val="16"/>
        </w:rPr>
        <w:t>Step 2 — Capital before maturity adjustment:</w:t>
      </w:r>
    </w:p>
    <w:p>
      <w:pPr>
        <w:shd w:fill="F5F5F5"/>
      </w:pPr>
      <w:r>
        <w:rPr>
          <w:rFonts w:ascii="Courier New" w:hAnsi="Courier New"/>
          <w:color w:val="404040"/>
          <w:sz w:val="16"/>
        </w:rPr>
        <w:t xml:space="preserve">  K_base = LGD × N(z) − PD × LGD</w:t>
      </w:r>
    </w:p>
    <w:p>
      <w:pPr>
        <w:shd w:fill="F5F5F5"/>
      </w:pPr>
      <w:r>
        <w:rPr>
          <w:rFonts w:ascii="Courier New" w:hAnsi="Courier New"/>
          <w:color w:val="404040"/>
          <w:sz w:val="16"/>
        </w:rPr>
        <w:t>Step 3 — Maturity adjustment:</w:t>
      </w:r>
    </w:p>
    <w:p>
      <w:pPr>
        <w:shd w:fill="F5F5F5"/>
      </w:pPr>
      <w:r>
        <w:rPr>
          <w:rFonts w:ascii="Courier New" w:hAnsi="Courier New"/>
          <w:color w:val="404040"/>
          <w:sz w:val="16"/>
        </w:rPr>
        <w:t xml:space="preserve">  MA = (1 + (M − 2.5) × b) / (1 − 1.5 × b)</w:t>
      </w:r>
    </w:p>
    <w:p>
      <w:pPr>
        <w:shd w:fill="F5F5F5"/>
      </w:pPr>
      <w:r>
        <w:rPr>
          <w:rFonts w:ascii="Courier New" w:hAnsi="Courier New"/>
          <w:color w:val="404040"/>
          <w:sz w:val="16"/>
        </w:rPr>
        <w:t xml:space="preserve">  b  = (0.11852 − 0.05478 × ln(PD))²</w:t>
      </w:r>
    </w:p>
    <w:p>
      <w:pPr>
        <w:shd w:fill="F5F5F5"/>
      </w:pPr>
      <w:r>
        <w:rPr>
          <w:rFonts w:ascii="Courier New" w:hAnsi="Courier New"/>
          <w:color w:val="404040"/>
          <w:sz w:val="16"/>
        </w:rPr>
        <w:t>Step 4 — Final capital requirement:</w:t>
      </w:r>
    </w:p>
    <w:p>
      <w:pPr>
        <w:shd w:fill="F5F5F5"/>
      </w:pPr>
      <w:r>
        <w:rPr>
          <w:rFonts w:ascii="Courier New" w:hAnsi="Courier New"/>
          <w:color w:val="404040"/>
          <w:sz w:val="16"/>
        </w:rPr>
        <w:t xml:space="preserve">  K = K_base × MA</w:t>
      </w:r>
    </w:p>
    <w:p>
      <w:pPr>
        <w:shd w:fill="F5F5F5"/>
      </w:pPr>
      <w:r>
        <w:rPr>
          <w:rFonts w:ascii="Courier New" w:hAnsi="Courier New"/>
          <w:color w:val="404040"/>
          <w:sz w:val="16"/>
        </w:rPr>
        <w:t>Step 5 — Risk-Weighted Assets:</w:t>
      </w:r>
    </w:p>
    <w:p>
      <w:pPr>
        <w:shd w:fill="F5F5F5"/>
      </w:pPr>
      <w:r>
        <w:rPr>
          <w:rFonts w:ascii="Courier New" w:hAnsi="Courier New"/>
          <w:color w:val="404040"/>
          <w:sz w:val="16"/>
        </w:rPr>
        <w:t xml:space="preserve">  RWA = K × 12.5 × EAD</w:t>
      </w:r>
    </w:p>
    <w:p>
      <w:pPr>
        <w:pStyle w:val="Heading3"/>
        <w:jc w:val="left"/>
      </w:pPr>
      <w:r>
        <w:t>3.2 What Each Term Means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Symbol</w:t>
            </w:r>
          </w:p>
        </w:tc>
        <w:tc>
          <w:tcPr>
            <w:tcW w:type="dxa" w:w="2880"/>
          </w:tcPr>
          <w:p>
            <w:r>
              <w:rPr>
                <w:b/>
                <w:sz w:val="20"/>
              </w:rPr>
              <w:t>Meaning</w:t>
            </w:r>
          </w:p>
        </w:tc>
        <w:tc>
          <w:tcPr>
            <w:tcW w:type="dxa" w:w="2880"/>
          </w:tcPr>
          <w:p>
            <w:r>
              <w:rPr>
                <w:b/>
                <w:sz w:val="20"/>
              </w:rPr>
              <w:t>Typical Values</w:t>
            </w:r>
          </w:p>
        </w:tc>
      </w:tr>
      <w:tr>
        <w:tc>
          <w:tcPr>
            <w:tcW w:type="dxa" w:w="2880"/>
          </w:tcPr>
          <w:p>
            <w:r>
              <w:t>**PD**</w:t>
            </w:r>
          </w:p>
        </w:tc>
        <w:tc>
          <w:tcPr>
            <w:tcW w:type="dxa" w:w="2880"/>
          </w:tcPr>
          <w:p>
            <w:r>
              <w:t>Probability of Default in 1 year</w:t>
            </w:r>
          </w:p>
        </w:tc>
        <w:tc>
          <w:tcPr>
            <w:tcW w:type="dxa" w:w="2880"/>
          </w:tcPr>
          <w:p>
            <w:r>
              <w:t>0.03% (AAA) to 100% (defaulted)</w:t>
            </w:r>
          </w:p>
        </w:tc>
      </w:tr>
      <w:tr>
        <w:tc>
          <w:tcPr>
            <w:tcW w:type="dxa" w:w="2880"/>
          </w:tcPr>
          <w:p>
            <w:r>
              <w:t>**LGD**</w:t>
            </w:r>
          </w:p>
        </w:tc>
        <w:tc>
          <w:tcPr>
            <w:tcW w:type="dxa" w:w="2880"/>
          </w:tcPr>
          <w:p>
            <w:r>
              <w:t>Loss Given Default</w:t>
            </w:r>
          </w:p>
        </w:tc>
        <w:tc>
          <w:tcPr>
            <w:tcW w:type="dxa" w:w="2880"/>
          </w:tcPr>
          <w:p>
            <w:r>
              <w:t>25%–75% (unsecured); 5%–45% (secured)</w:t>
            </w:r>
          </w:p>
        </w:tc>
      </w:tr>
      <w:tr>
        <w:tc>
          <w:tcPr>
            <w:tcW w:type="dxa" w:w="2880"/>
          </w:tcPr>
          <w:p>
            <w:r>
              <w:t>**EAD**</w:t>
            </w:r>
          </w:p>
        </w:tc>
        <w:tc>
          <w:tcPr>
            <w:tcW w:type="dxa" w:w="2880"/>
          </w:tcPr>
          <w:p>
            <w:r>
              <w:t>Exposure at Default</w:t>
            </w:r>
          </w:p>
        </w:tc>
        <w:tc>
          <w:tcPr>
            <w:tcW w:type="dxa" w:w="2880"/>
          </w:tcPr>
          <w:p>
            <w:r>
              <w:t>Face value of loan / drawn balance</w:t>
            </w:r>
          </w:p>
        </w:tc>
      </w:tr>
      <w:tr>
        <w:tc>
          <w:tcPr>
            <w:tcW w:type="dxa" w:w="2880"/>
          </w:tcPr>
          <w:p>
            <w:r>
              <w:t>**M**</w:t>
            </w:r>
          </w:p>
        </w:tc>
        <w:tc>
          <w:tcPr>
            <w:tcW w:type="dxa" w:w="2880"/>
          </w:tcPr>
          <w:p>
            <w:r>
              <w:t>Effective maturity in years</w:t>
            </w:r>
          </w:p>
        </w:tc>
        <w:tc>
          <w:tcPr>
            <w:tcW w:type="dxa" w:w="2880"/>
          </w:tcPr>
          <w:p>
            <w:r>
              <w:t>1–5 years (Basel floor/cap)</w:t>
            </w:r>
          </w:p>
        </w:tc>
      </w:tr>
      <w:tr>
        <w:tc>
          <w:tcPr>
            <w:tcW w:type="dxa" w:w="2880"/>
          </w:tcPr>
          <w:p>
            <w:r>
              <w:t>**R**</w:t>
            </w:r>
          </w:p>
        </w:tc>
        <w:tc>
          <w:tcPr>
            <w:tcW w:type="dxa" w:w="2880"/>
          </w:tcPr>
          <w:p>
            <w:r>
              <w:t>Asset correlation</w:t>
            </w:r>
          </w:p>
        </w:tc>
        <w:tc>
          <w:tcPr>
            <w:tcW w:type="dxa" w:w="2880"/>
          </w:tcPr>
          <w:p>
            <w:r>
              <w:t>12%–24% corp; 4% retail revolving</w:t>
            </w:r>
          </w:p>
        </w:tc>
      </w:tr>
      <w:tr>
        <w:tc>
          <w:tcPr>
            <w:tcW w:type="dxa" w:w="2880"/>
          </w:tcPr>
          <w:p>
            <w:r>
              <w:t>**N(·)**</w:t>
            </w:r>
          </w:p>
        </w:tc>
        <w:tc>
          <w:tcPr>
            <w:tcW w:type="dxa" w:w="2880"/>
          </w:tcPr>
          <w:p>
            <w:r>
              <w:t>Standard normal CDF</w:t>
            </w:r>
          </w:p>
        </w:tc>
        <w:tc>
          <w:tcPr>
            <w:tcW w:type="dxa" w:w="2880"/>
          </w:tcPr>
          <w:p>
            <w:r>
              <w:t>—</w:t>
            </w:r>
          </w:p>
        </w:tc>
      </w:tr>
      <w:tr>
        <w:tc>
          <w:tcPr>
            <w:tcW w:type="dxa" w:w="2880"/>
          </w:tcPr>
          <w:p>
            <w:r>
              <w:t>**N⁻¹(·)**</w:t>
            </w:r>
          </w:p>
        </w:tc>
        <w:tc>
          <w:tcPr>
            <w:tcW w:type="dxa" w:w="2880"/>
          </w:tcPr>
          <w:p>
            <w:r>
              <w:t>Inverse normal CDF</w:t>
            </w:r>
          </w:p>
        </w:tc>
        <w:tc>
          <w:tcPr>
            <w:tcW w:type="dxa" w:w="2880"/>
          </w:tcPr>
          <w:p>
            <w:r>
              <w:t>N⁻¹(0.999) = 3.0902</w:t>
            </w:r>
          </w:p>
        </w:tc>
      </w:tr>
      <w:tr>
        <w:tc>
          <w:tcPr>
            <w:tcW w:type="dxa" w:w="2880"/>
          </w:tcPr>
          <w:p>
            <w:r>
              <w:t>**N⁻¹(0.999)**</w:t>
            </w:r>
          </w:p>
        </w:tc>
        <w:tc>
          <w:tcPr>
            <w:tcW w:type="dxa" w:w="2880"/>
          </w:tcPr>
          <w:p>
            <w:r>
              <w:t>99.9th percentile normal</w:t>
            </w:r>
          </w:p>
        </w:tc>
        <w:tc>
          <w:tcPr>
            <w:tcW w:type="dxa" w:w="2880"/>
          </w:tcPr>
          <w:p>
            <w:r>
              <w:t>**3.0902** — the Basel confidence level</w:t>
            </w:r>
          </w:p>
        </w:tc>
      </w:tr>
      <w:tr>
        <w:tc>
          <w:tcPr>
            <w:tcW w:type="dxa" w:w="2880"/>
          </w:tcPr>
          <w:p>
            <w:r>
              <w:t>**z**</w:t>
            </w:r>
          </w:p>
        </w:tc>
        <w:tc>
          <w:tcPr>
            <w:tcW w:type="dxa" w:w="2880"/>
          </w:tcPr>
          <w:p>
            <w:r>
              <w:t>Conditional default threshold</w:t>
            </w:r>
          </w:p>
        </w:tc>
        <w:tc>
          <w:tcPr>
            <w:tcW w:type="dxa" w:w="2880"/>
          </w:tcPr>
          <w:p>
            <w:r>
              <w:t>Drives the tail of the loss distribution</w:t>
            </w:r>
          </w:p>
        </w:tc>
      </w:tr>
      <w:tr>
        <w:tc>
          <w:tcPr>
            <w:tcW w:type="dxa" w:w="2880"/>
          </w:tcPr>
          <w:p>
            <w:r>
              <w:t>**K**</w:t>
            </w:r>
          </w:p>
        </w:tc>
        <w:tc>
          <w:tcPr>
            <w:tcW w:type="dxa" w:w="2880"/>
          </w:tcPr>
          <w:p>
            <w:r>
              <w:t>Capital requirement per unit EAD</w:t>
            </w:r>
          </w:p>
        </w:tc>
        <w:tc>
          <w:tcPr>
            <w:tcW w:type="dxa" w:w="2880"/>
          </w:tcPr>
          <w:p>
            <w:r>
              <w:t>Typically 1%–20%</w:t>
            </w:r>
          </w:p>
        </w:tc>
      </w:tr>
      <w:tr>
        <w:tc>
          <w:tcPr>
            <w:tcW w:type="dxa" w:w="2880"/>
          </w:tcPr>
          <w:p>
            <w:r>
              <w:t>**12.5**</w:t>
            </w:r>
          </w:p>
        </w:tc>
        <w:tc>
          <w:tcPr>
            <w:tcW w:type="dxa" w:w="2880"/>
          </w:tcPr>
          <w:p>
            <w:r>
              <w:t>RWA multiplier = 1/8%</w:t>
            </w:r>
          </w:p>
        </w:tc>
        <w:tc>
          <w:tcPr>
            <w:tcW w:type="dxa" w:w="2880"/>
          </w:tcPr>
          <w:p>
            <w:r>
              <w:t>Converts capital to RWA</w:t>
            </w:r>
          </w:p>
        </w:tc>
      </w:tr>
    </w:tbl>
    <w:p>
      <w:pPr>
        <w:pStyle w:val="Heading3"/>
        <w:jc w:val="left"/>
      </w:pPr>
      <w:r>
        <w:t>3.3 Intuition — The Vasicek Model</w:t>
      </w:r>
    </w:p>
    <w:p>
      <w:r>
        <w:t xml:space="preserve">The formula is derived from the </w:t>
      </w:r>
      <w:r>
        <w:rPr>
          <w:b/>
        </w:rPr>
        <w:t>Vasicek single-factor model</w:t>
      </w:r>
      <w:r>
        <w:t>. Every obligor's asset return is driven by:</w:t>
      </w:r>
    </w:p>
    <w:p>
      <w:pPr>
        <w:shd w:fill="F5F5F5"/>
      </w:pPr>
      <w:r>
        <w:rPr>
          <w:rFonts w:ascii="Courier New" w:hAnsi="Courier New"/>
          <w:color w:val="404040"/>
          <w:sz w:val="16"/>
        </w:rPr>
        <w:t>Asset Return = √R × Systematic Factor + √(1−R) × Idiosyncratic Factor</w:t>
      </w:r>
    </w:p>
    <w:p>
      <w:pPr>
        <w:shd w:fill="F5F5F5"/>
      </w:pPr>
      <w:r>
        <w:rPr>
          <w:rFonts w:ascii="Courier New" w:hAnsi="Courier New"/>
          <w:color w:val="404040"/>
          <w:sz w:val="16"/>
        </w:rPr>
        <w:t>Default when Asset Return &lt; N⁻¹(PD)</w:t>
      </w:r>
    </w:p>
    <w:p>
      <w:pPr>
        <w:pStyle w:val="ListBullet"/>
      </w:pPr>
      <w:r>
        <w:t>**R (correlation):** How much of the obligor's asset value is driven by the common market factor. High R = obligor moves with the economic cycle.</w:t>
      </w:r>
    </w:p>
    <w:p>
      <w:pPr>
        <w:pStyle w:val="ListBullet"/>
      </w:pPr>
      <w:r>
        <w:t>**N⁻¹(0.999):** Basel fixes the systematic factor at its **99.9th percentile** — a "1-in-1000 year" bad scenario for the economy.</w:t>
      </w:r>
    </w:p>
    <w:p>
      <w:pPr>
        <w:pStyle w:val="ListBullet"/>
      </w:pPr>
      <w:r>
        <w:t>**z:** The combined threshold. In a worst-case economy, z measures how far into the loss tail we are.</w:t>
      </w:r>
    </w:p>
    <w:p>
      <w:pPr>
        <w:pStyle w:val="ListBullet"/>
      </w:pPr>
      <w:r>
        <w:t>**N(z):** The conditional default probability — the fraction of the portfolio that defaults in the 99.9% bad economic scenario.</w:t>
      </w:r>
    </w:p>
    <w:p>
      <w:pPr>
        <w:pStyle w:val="ListBullet"/>
      </w:pPr>
      <w:r>
        <w:t>**LGD × N(z) − PD × LGD:** The unexpected loss (UL) — conditional loss minus expected loss. Capital covers UL.</w:t>
      </w:r>
    </w:p>
    <w:p>
      <w:pPr>
        <w:pStyle w:val="Heading3"/>
        <w:jc w:val="left"/>
      </w:pPr>
      <w:r>
        <w:t>3.4 The Confidence Level — Why 99.9%?</w:t>
      </w:r>
    </w:p>
    <w:p>
      <w:r>
        <w:t xml:space="preserve">The Basel Committee calibrated the 99.9% confidence level so that well-diversified banking books hold enough capital to survive a </w:t>
      </w:r>
      <w:r>
        <w:rPr>
          <w:b/>
        </w:rPr>
        <w:t>1-in-1,000 year</w:t>
      </w:r>
      <w:r>
        <w:t xml:space="preserve"> economic shock. This is equivalent to an approximate A-/BBB+ rating for the banking system itself.</w:t>
      </w:r>
    </w:p>
    <w:p>
      <w:pPr>
        <w:pStyle w:val="Heading2"/>
        <w:jc w:val="left"/>
      </w:pPr>
      <w:r>
        <w:t>4. Asset Correlation R — CRE31.5</w:t>
      </w:r>
    </w:p>
    <w:p>
      <w:r>
        <w:t>The asset correlation R determines how much a single obligor's default probability is tied to the systematic economic factor.</w:t>
      </w:r>
    </w:p>
    <w:p>
      <w:pPr>
        <w:pStyle w:val="Heading3"/>
        <w:jc w:val="left"/>
      </w:pPr>
      <w:r>
        <w:t>4.1 Corporate / Bank / Sovereign Formula (CRE31.5)</w:t>
      </w:r>
    </w:p>
    <w:p>
      <w:pPr>
        <w:shd w:fill="F5F5F5"/>
      </w:pPr>
      <w:r>
        <w:rPr>
          <w:rFonts w:ascii="Courier New" w:hAnsi="Courier New"/>
          <w:color w:val="404040"/>
          <w:sz w:val="16"/>
        </w:rPr>
        <w:t>R = 0.12 × (1 − exp(−50×PD)) / (1 − exp(−50))</w:t>
      </w:r>
    </w:p>
    <w:p>
      <w:pPr>
        <w:shd w:fill="F5F5F5"/>
      </w:pPr>
      <w:r>
        <w:rPr>
          <w:rFonts w:ascii="Courier New" w:hAnsi="Courier New"/>
          <w:color w:val="404040"/>
          <w:sz w:val="16"/>
        </w:rPr>
        <w:t xml:space="preserve">  + 0.24 × [1 − (1 − exp(−50×PD)) / (1 − exp(−50))]</w:t>
      </w:r>
    </w:p>
    <w:p>
      <w:r>
        <w:t xml:space="preserve">This is a </w:t>
      </w:r>
      <w:r>
        <w:rPr>
          <w:b/>
        </w:rPr>
        <w:t>weighted interpolation</w:t>
      </w:r>
      <w:r>
        <w:t xml:space="preserve"> between:</w:t>
      </w:r>
    </w:p>
    <w:p>
      <w:pPr>
        <w:pStyle w:val="ListBullet"/>
      </w:pPr>
      <w:r>
        <w:t>**0.12** (low-R bound): applies at high PD — distressed obligors are idiosyncratic (their defaults are not strongly correlated with each other)</w:t>
      </w:r>
    </w:p>
    <w:p>
      <w:pPr>
        <w:pStyle w:val="ListBullet"/>
      </w:pPr>
      <w:r>
        <w:t>**0.24** (high-R bound): applies at low PD — investment-grade obligors are highly correlated with the economic cycle</w:t>
      </w:r>
    </w:p>
    <w:p>
      <w:r>
        <w:rPr>
          <w:b/>
        </w:rPr>
        <w:t>Intuition:</w:t>
      </w:r>
      <w:r>
        <w:t xml:space="preserve"> A high-quality investment-grade borrower that defaults is almost certainly doing so because of a systemic economic shock (everyone suffers together). A sub-investment-grade borrower that defaults may be doing so for idiosyncratic reasons (bad management, sector-specific issue). Hence low-PD obligors have </w:t>
      </w:r>
      <w:r>
        <w:rPr>
          <w:b/>
        </w:rPr>
        <w:t>higher</w:t>
      </w:r>
      <w:r>
        <w:t xml:space="preserve"> R.</w:t>
      </w:r>
    </w:p>
    <w:p>
      <w:pPr>
        <w:pStyle w:val="Heading3"/>
        <w:jc w:val="left"/>
      </w:pPr>
      <w:r>
        <w:t>4.2 Retail Asset Classes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Asset Class</w:t>
            </w:r>
          </w:p>
        </w:tc>
        <w:tc>
          <w:tcPr>
            <w:tcW w:type="dxa" w:w="2880"/>
          </w:tcPr>
          <w:p>
            <w:r>
              <w:rPr>
                <w:b/>
                <w:sz w:val="20"/>
              </w:rPr>
              <w:t>R</w:t>
            </w:r>
          </w:p>
        </w:tc>
        <w:tc>
          <w:tcPr>
            <w:tcW w:type="dxa" w:w="2880"/>
          </w:tcPr>
          <w:p>
            <w:r>
              <w:rPr>
                <w:b/>
                <w:sz w:val="20"/>
              </w:rPr>
              <w:t>Formula</w:t>
            </w:r>
          </w:p>
        </w:tc>
      </w:tr>
      <w:tr>
        <w:tc>
          <w:tcPr>
            <w:tcW w:type="dxa" w:w="2880"/>
          </w:tcPr>
          <w:p>
            <w:r>
              <w:t>**RETAIL_MORT** (Residential Mortgage)</w:t>
            </w:r>
          </w:p>
        </w:tc>
        <w:tc>
          <w:tcPr>
            <w:tcW w:type="dxa" w:w="2880"/>
          </w:tcPr>
          <w:p>
            <w:r>
              <w:t>**0.15** (fixed)</w:t>
            </w:r>
          </w:p>
        </w:tc>
        <w:tc>
          <w:tcPr>
            <w:tcW w:type="dxa" w:w="2880"/>
          </w:tcPr>
          <w:p>
            <w:r>
              <w:t>CRE31.13 — fixed, no PD dependence</w:t>
            </w:r>
          </w:p>
        </w:tc>
      </w:tr>
      <w:tr>
        <w:tc>
          <w:tcPr>
            <w:tcW w:type="dxa" w:w="2880"/>
          </w:tcPr>
          <w:p>
            <w:r>
              <w:t>**RETAIL_REV** (Revolving Credit — Cards/Overdrafts)</w:t>
            </w:r>
          </w:p>
        </w:tc>
        <w:tc>
          <w:tcPr>
            <w:tcW w:type="dxa" w:w="2880"/>
          </w:tcPr>
          <w:p>
            <w:r>
              <w:t>**0.04** (fixed)</w:t>
            </w:r>
          </w:p>
        </w:tc>
        <w:tc>
          <w:tcPr>
            <w:tcW w:type="dxa" w:w="2880"/>
          </w:tcPr>
          <w:p>
            <w:r>
              <w:t>CRE31.14 — lowest R; consumer defaults are highly idiosyncratic</w:t>
            </w:r>
          </w:p>
        </w:tc>
      </w:tr>
      <w:tr>
        <w:tc>
          <w:tcPr>
            <w:tcW w:type="dxa" w:w="2880"/>
          </w:tcPr>
          <w:p>
            <w:r>
              <w:t>**RETAIL_OTHER** (Other Retail)</w:t>
            </w:r>
          </w:p>
        </w:tc>
        <w:tc>
          <w:tcPr>
            <w:tcW w:type="dxa" w:w="2880"/>
          </w:tcPr>
          <w:p>
            <w:r>
              <w:t>**0.03–0.16**</w:t>
            </w:r>
          </w:p>
        </w:tc>
        <w:tc>
          <w:tcPr>
            <w:tcW w:type="dxa" w:w="2880"/>
          </w:tcPr>
          <w:p>
            <w:r>
              <w:t>CRE31.15 — formula with exp(−35×PD)</w:t>
            </w:r>
          </w:p>
        </w:tc>
      </w:tr>
      <w:tr>
        <w:tc>
          <w:tcPr>
            <w:tcW w:type="dxa" w:w="2880"/>
          </w:tcPr>
          <w:p>
            <w:r>
              <w:t>**HVCRE** (High-Volatility CRE)</w:t>
            </w:r>
          </w:p>
        </w:tc>
        <w:tc>
          <w:tcPr>
            <w:tcW w:type="dxa" w:w="2880"/>
          </w:tcPr>
          <w:p>
            <w:r>
              <w:t>**0.12–0.30**</w:t>
            </w:r>
          </w:p>
        </w:tc>
        <w:tc>
          <w:tcPr>
            <w:tcW w:type="dxa" w:w="2880"/>
          </w:tcPr>
          <w:p>
            <w:r>
              <w:t>CRE31.10 — wider range than standard corp</w:t>
            </w:r>
          </w:p>
        </w:tc>
      </w:tr>
    </w:tbl>
    <w:p>
      <w:pPr>
        <w:pStyle w:val="Heading3"/>
        <w:jc w:val="left"/>
      </w:pPr>
      <w:r>
        <w:t>4.3 SME Adjustment (CRE31.9)</w:t>
      </w:r>
    </w:p>
    <w:p>
      <w:r>
        <w:t>For corporates with annual sales S ∈ (5, 50) million EUR:</w:t>
      </w:r>
    </w:p>
    <w:p>
      <w:pPr>
        <w:shd w:fill="F5F5F5"/>
      </w:pPr>
      <w:r>
        <w:rPr>
          <w:rFonts w:ascii="Courier New" w:hAnsi="Courier New"/>
          <w:color w:val="404040"/>
          <w:sz w:val="16"/>
        </w:rPr>
        <w:t>R_SME = R_corp − 0.04 × (1 − (S − 5) / 45)</w:t>
      </w:r>
    </w:p>
    <w:p>
      <w:r>
        <w:t>At S = 5 mEUR: reduction = 0.04 (maximum benefit). At S = 50 mEUR: no reduction.</w:t>
      </w:r>
    </w:p>
    <w:p>
      <w:r>
        <w:rPr>
          <w:b/>
        </w:rPr>
        <w:t>Why:</w:t>
      </w:r>
      <w:r>
        <w:t xml:space="preserve"> Small firms default more independently of the business cycle than large multinationals — they are less correlated with the systematic factor.</w:t>
      </w:r>
    </w:p>
    <w:p>
      <w:pPr>
        <w:pStyle w:val="Heading3"/>
        <w:jc w:val="left"/>
      </w:pPr>
      <w:r>
        <w:t>4.4 Large Financial Institution Multiplier (CRE31.7)</w:t>
      </w:r>
    </w:p>
    <w:p>
      <w:r>
        <w:t>For regulated FIs with total assets ≥ USD 100bn or any unregulated FI:</w:t>
      </w:r>
    </w:p>
    <w:p>
      <w:pPr>
        <w:shd w:fill="F5F5F5"/>
      </w:pPr>
      <w:r>
        <w:rPr>
          <w:rFonts w:ascii="Courier New" w:hAnsi="Courier New"/>
          <w:color w:val="404040"/>
          <w:sz w:val="16"/>
        </w:rPr>
        <w:t>R_FI = R × 1.25</w:t>
      </w:r>
    </w:p>
    <w:p>
      <w:r>
        <w:rPr>
          <w:b/>
        </w:rPr>
        <w:t>Why:</w:t>
      </w:r>
      <w:r>
        <w:t xml:space="preserve"> Financial institutions are highly interconnected (contagion risk). Their correlation with the systematic factor is higher than a standard corporate of the same PD.</w:t>
      </w:r>
    </w:p>
    <w:p>
      <w:pPr>
        <w:pStyle w:val="Heading2"/>
        <w:jc w:val="left"/>
      </w:pPr>
      <w:r>
        <w:t>5. Maturity Adjustment — CRE31.7</w:t>
      </w:r>
    </w:p>
    <w:p>
      <w:r>
        <w:t>Longer-dated exposures carry more risk because there is more time for credit migration (downgrade or default). The maturity adjustment captures this:</w:t>
      </w:r>
    </w:p>
    <w:p>
      <w:pPr>
        <w:shd w:fill="F5F5F5"/>
      </w:pPr>
      <w:r>
        <w:rPr>
          <w:rFonts w:ascii="Courier New" w:hAnsi="Courier New"/>
          <w:color w:val="404040"/>
          <w:sz w:val="16"/>
        </w:rPr>
        <w:t>b(PD) = (0.11852 − 0.05478 × ln(PD))²</w:t>
      </w:r>
    </w:p>
    <w:p>
      <w:pPr>
        <w:shd w:fill="F5F5F5"/>
      </w:pPr>
      <w:r>
        <w:rPr>
          <w:rFonts w:ascii="Courier New" w:hAnsi="Courier New"/>
          <w:color w:val="404040"/>
          <w:sz w:val="16"/>
        </w:rPr>
        <w:t>MA = (1 + (M − 2.5) × b) / (1 − 1.5 × b)</w:t>
      </w:r>
    </w:p>
    <w:p>
      <w:r>
        <w:t>Where:</w:t>
      </w:r>
    </w:p>
    <w:p>
      <w:pPr>
        <w:pStyle w:val="ListBullet"/>
      </w:pPr>
      <w:r>
        <w:t>**b** = sensitivity of K to maturity — higher for low-PD (IG) obligors (they have more "room to fall")</w:t>
      </w:r>
    </w:p>
    <w:p>
      <w:pPr>
        <w:pStyle w:val="ListBullet"/>
      </w:pPr>
      <w:r>
        <w:t>**M** = effective maturity in years, floored at 1 year, capped at 5 years (CRE31.7)</w:t>
      </w:r>
    </w:p>
    <w:p>
      <w:pPr>
        <w:pStyle w:val="ListBullet"/>
      </w:pPr>
      <w:r>
        <w:t>**MA &gt; 1** for M &gt; 2.5 (long-dated loans penalised)</w:t>
      </w:r>
    </w:p>
    <w:p>
      <w:pPr>
        <w:pStyle w:val="ListBullet"/>
      </w:pPr>
      <w:r>
        <w:t>**MA &lt; 1** for M &lt; 2.5 (short-dated loans benefit)</w:t>
      </w:r>
    </w:p>
    <w:p>
      <w:pPr>
        <w:pStyle w:val="ListBullet"/>
      </w:pPr>
      <w:r>
        <w:t>**Retail:** b = 0, MA = 1 always (no maturity adjustment for retail)</w:t>
      </w:r>
    </w:p>
    <w:p>
      <w:r>
        <w:rPr>
          <w:b/>
        </w:rPr>
        <w:t>CRE31.8 — Daily-margined derivatives:</w:t>
      </w:r>
      <w:r>
        <w:t xml:space="preserve"> M is capped at 1 year when `is_margined = True`, dramatically reducing the maturity penalty for OTC derivatives that are daily-variation-margined.</w:t>
      </w:r>
    </w:p>
    <w:p>
      <w:pPr>
        <w:pStyle w:val="Heading2"/>
        <w:jc w:val="left"/>
      </w:pPr>
      <w:r>
        <w:t>6. Credit Risk Mitigation (CRM) — CRE32</w:t>
      </w:r>
    </w:p>
    <w:p>
      <w:r>
        <w:t>CRM reduces capital requirements by recognising collateral, guarantees, and CDS. The PROMETHEUS engine applies a four-step CRM chain.</w:t>
      </w:r>
    </w:p>
    <w:p>
      <w:pPr>
        <w:pStyle w:val="Heading3"/>
        <w:jc w:val="left"/>
      </w:pPr>
      <w:r>
        <w:t>6.1 Step A — Retail Deposit Netting (CRE32.63)</w:t>
      </w:r>
    </w:p>
    <w:p>
      <w:r>
        <w:t>Only for retail exposures where a bank holds a deposit from the same borrower:</w:t>
      </w:r>
    </w:p>
    <w:p>
      <w:pPr>
        <w:shd w:fill="F5F5F5"/>
      </w:pPr>
      <w:r>
        <w:rPr>
          <w:rFonts w:ascii="Courier New" w:hAnsi="Courier New"/>
          <w:color w:val="404040"/>
          <w:sz w:val="16"/>
        </w:rPr>
        <w:t>EAD_net = max(EAD − Deposit, 0)</w:t>
      </w:r>
    </w:p>
    <w:p>
      <w:pPr>
        <w:pStyle w:val="Heading3"/>
        <w:jc w:val="left"/>
      </w:pPr>
      <w:r>
        <w:t>6.2 Step B — Funded Collateral: LGD* Formula (CRE32.10–13)</w:t>
      </w:r>
    </w:p>
    <w:p>
      <w:r>
        <w:t>When the bank holds financial collateral, receivables, or real estate:</w:t>
      </w:r>
    </w:p>
    <w:p>
      <w:pPr>
        <w:shd w:fill="F5F5F5"/>
      </w:pPr>
      <w:r>
        <w:rPr>
          <w:rFonts w:ascii="Courier New" w:hAnsi="Courier New"/>
          <w:color w:val="404040"/>
          <w:sz w:val="16"/>
        </w:rPr>
        <w:t>SC    = Collateral_Value × (1 − hc)   [credit-risk-adjusted collateral]</w:t>
      </w:r>
    </w:p>
    <w:p>
      <w:pPr>
        <w:shd w:fill="F5F5F5"/>
      </w:pPr>
      <w:r>
        <w:rPr>
          <w:rFonts w:ascii="Courier New" w:hAnsi="Courier New"/>
          <w:color w:val="404040"/>
          <w:sz w:val="16"/>
        </w:rPr>
        <w:t>E_S   = min(SC, EAD)                  [secured portion]</w:t>
      </w:r>
    </w:p>
    <w:p>
      <w:pPr>
        <w:shd w:fill="F5F5F5"/>
      </w:pPr>
      <w:r>
        <w:rPr>
          <w:rFonts w:ascii="Courier New" w:hAnsi="Courier New"/>
          <w:color w:val="404040"/>
          <w:sz w:val="16"/>
        </w:rPr>
        <w:t>E_U   = max(EAD − SC, 0)             [unsecured portion]</w:t>
      </w:r>
    </w:p>
    <w:p>
      <w:pPr>
        <w:shd w:fill="F5F5F5"/>
      </w:pPr>
      <w:r>
        <w:rPr>
          <w:rFonts w:ascii="Courier New" w:hAnsi="Courier New"/>
          <w:color w:val="404040"/>
          <w:sz w:val="16"/>
        </w:rPr>
        <w:t>LGD*  = (E_U / EAD) × LGD_unsecured + (E_S / EAD) × LGD_secured</w:t>
      </w:r>
    </w:p>
    <w:p>
      <w:r>
        <w:rPr>
          <w:b/>
        </w:rPr>
        <w:t>Collateral parameters by type: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Type</w:t>
            </w:r>
          </w:p>
        </w:tc>
        <w:tc>
          <w:tcPr>
            <w:tcW w:type="dxa" w:w="2160"/>
          </w:tcPr>
          <w:p>
            <w:r>
              <w:rPr>
                <w:b/>
                <w:sz w:val="20"/>
              </w:rPr>
              <w:t>LGD_secured</w:t>
            </w:r>
          </w:p>
        </w:tc>
        <w:tc>
          <w:tcPr>
            <w:tcW w:type="dxa" w:w="2160"/>
          </w:tcPr>
          <w:p>
            <w:r>
              <w:rPr>
                <w:b/>
                <w:sz w:val="20"/>
              </w:rPr>
              <w:t>Haircut (hc)</w:t>
            </w:r>
          </w:p>
        </w:tc>
        <w:tc>
          <w:tcPr>
            <w:tcW w:type="dxa" w:w="2160"/>
          </w:tcPr>
          <w:p>
            <w:r>
              <w:rPr>
                <w:b/>
                <w:sz w:val="20"/>
              </w:rPr>
              <w:t>LGD Floor</w:t>
            </w:r>
          </w:p>
        </w:tc>
      </w:tr>
      <w:tr>
        <w:tc>
          <w:tcPr>
            <w:tcW w:type="dxa" w:w="2160"/>
          </w:tcPr>
          <w:p>
            <w:r>
              <w:t>FINANCIAL (cash, securities)</w:t>
            </w:r>
          </w:p>
        </w:tc>
        <w:tc>
          <w:tcPr>
            <w:tcW w:type="dxa" w:w="2160"/>
          </w:tcPr>
          <w:p>
            <w:r>
              <w:t>0%</w:t>
            </w:r>
          </w:p>
        </w:tc>
        <w:tc>
          <w:tcPr>
            <w:tcW w:type="dxa" w:w="2160"/>
          </w:tcPr>
          <w:p>
            <w:r>
              <w:t>15%</w:t>
            </w:r>
          </w:p>
        </w:tc>
        <w:tc>
          <w:tcPr>
            <w:tcW w:type="dxa" w:w="2160"/>
          </w:tcPr>
          <w:p>
            <w:r>
              <w:t>0%</w:t>
            </w:r>
          </w:p>
        </w:tc>
      </w:tr>
      <w:tr>
        <w:tc>
          <w:tcPr>
            <w:tcW w:type="dxa" w:w="2160"/>
          </w:tcPr>
          <w:p>
            <w:r>
              <w:t>RECEIVABLES</w:t>
            </w:r>
          </w:p>
        </w:tc>
        <w:tc>
          <w:tcPr>
            <w:tcW w:type="dxa" w:w="2160"/>
          </w:tcPr>
          <w:p>
            <w:r>
              <w:t>20%</w:t>
            </w:r>
          </w:p>
        </w:tc>
        <w:tc>
          <w:tcPr>
            <w:tcW w:type="dxa" w:w="2160"/>
          </w:tcPr>
          <w:p>
            <w:r>
              <w:t>40%</w:t>
            </w:r>
          </w:p>
        </w:tc>
        <w:tc>
          <w:tcPr>
            <w:tcW w:type="dxa" w:w="2160"/>
          </w:tcPr>
          <w:p>
            <w:r>
              <w:t>10%</w:t>
            </w:r>
          </w:p>
        </w:tc>
      </w:tr>
      <w:tr>
        <w:tc>
          <w:tcPr>
            <w:tcW w:type="dxa" w:w="2160"/>
          </w:tcPr>
          <w:p>
            <w:r>
              <w:t>RESIDENTIAL_RE</w:t>
            </w:r>
          </w:p>
        </w:tc>
        <w:tc>
          <w:tcPr>
            <w:tcW w:type="dxa" w:w="2160"/>
          </w:tcPr>
          <w:p>
            <w:r>
              <w:t>20%</w:t>
            </w:r>
          </w:p>
        </w:tc>
        <w:tc>
          <w:tcPr>
            <w:tcW w:type="dxa" w:w="2160"/>
          </w:tcPr>
          <w:p>
            <w:r>
              <w:t>40%</w:t>
            </w:r>
          </w:p>
        </w:tc>
        <w:tc>
          <w:tcPr>
            <w:tcW w:type="dxa" w:w="2160"/>
          </w:tcPr>
          <w:p>
            <w:r>
              <w:t>**5%** (CRE32.17)</w:t>
            </w:r>
          </w:p>
        </w:tc>
      </w:tr>
      <w:tr>
        <w:tc>
          <w:tcPr>
            <w:tcW w:type="dxa" w:w="2160"/>
          </w:tcPr>
          <w:p>
            <w:r>
              <w:t>COMMERCIAL_RE</w:t>
            </w:r>
          </w:p>
        </w:tc>
        <w:tc>
          <w:tcPr>
            <w:tcW w:type="dxa" w:w="2160"/>
          </w:tcPr>
          <w:p>
            <w:r>
              <w:t>20%</w:t>
            </w:r>
          </w:p>
        </w:tc>
        <w:tc>
          <w:tcPr>
            <w:tcW w:type="dxa" w:w="2160"/>
          </w:tcPr>
          <w:p>
            <w:r>
              <w:t>40%</w:t>
            </w:r>
          </w:p>
        </w:tc>
        <w:tc>
          <w:tcPr>
            <w:tcW w:type="dxa" w:w="2160"/>
          </w:tcPr>
          <w:p>
            <w:r>
              <w:t>10%</w:t>
            </w:r>
          </w:p>
        </w:tc>
      </w:tr>
      <w:tr>
        <w:tc>
          <w:tcPr>
            <w:tcW w:type="dxa" w:w="2160"/>
          </w:tcPr>
          <w:p>
            <w:r>
              <w:t>OTHER_PHYSICAL</w:t>
            </w:r>
          </w:p>
        </w:tc>
        <w:tc>
          <w:tcPr>
            <w:tcW w:type="dxa" w:w="2160"/>
          </w:tcPr>
          <w:p>
            <w:r>
              <w:t>25%</w:t>
            </w:r>
          </w:p>
        </w:tc>
        <w:tc>
          <w:tcPr>
            <w:tcW w:type="dxa" w:w="2160"/>
          </w:tcPr>
          <w:p>
            <w:r>
              <w:t>40%</w:t>
            </w:r>
          </w:p>
        </w:tc>
        <w:tc>
          <w:tcPr>
            <w:tcW w:type="dxa" w:w="2160"/>
          </w:tcPr>
          <w:p>
            <w:r>
              <w:t>15%</w:t>
            </w:r>
          </w:p>
        </w:tc>
      </w:tr>
    </w:tbl>
    <w:p>
      <w:r>
        <w:rPr>
          <w:b/>
        </w:rPr>
        <w:t>Key fix (FIX-04 CRE32.13):</w:t>
      </w:r>
      <w:r>
        <w:t xml:space="preserve"> The haircut applies to the </w:t>
      </w:r>
      <w:r>
        <w:rPr>
          <w:b/>
        </w:rPr>
        <w:t>collateral value</w:t>
      </w:r>
      <w:r>
        <w:t>, not to the exposure. Previous implementations incorrectly inflated EAD by the haircut.</w:t>
      </w:r>
    </w:p>
    <w:p>
      <w:pPr>
        <w:pStyle w:val="Heading3"/>
        <w:jc w:val="left"/>
      </w:pPr>
      <w:r>
        <w:t>6.3 Step C — Guarantee: Split-K Method (CRE32.24–27)</w:t>
      </w:r>
    </w:p>
    <w:p>
      <w:r>
        <w:t>When a third-party guarantee covers a fraction of the exposure:</w:t>
      </w:r>
    </w:p>
    <w:p>
      <w:pPr>
        <w:shd w:fill="F5F5F5"/>
      </w:pPr>
      <w:r>
        <w:rPr>
          <w:rFonts w:ascii="Courier New" w:hAnsi="Courier New"/>
          <w:color w:val="404040"/>
          <w:sz w:val="16"/>
        </w:rPr>
        <w:t>K_covered   = K(PD_guarantor, LGD_guarantor, M, R_guarantor, b_guarantor)</w:t>
      </w:r>
    </w:p>
    <w:p>
      <w:pPr>
        <w:shd w:fill="F5F5F5"/>
      </w:pPr>
      <w:r>
        <w:rPr>
          <w:rFonts w:ascii="Courier New" w:hAnsi="Courier New"/>
          <w:color w:val="404040"/>
          <w:sz w:val="16"/>
        </w:rPr>
        <w:t>K_uncovered = K(PD_obligor,   LGD_obligor,   M, R_obligor,   b_obligor)</w:t>
      </w:r>
    </w:p>
    <w:p>
      <w:pPr>
        <w:shd w:fill="F5F5F5"/>
      </w:pPr>
      <w:r>
        <w:rPr>
          <w:rFonts w:ascii="Courier New" w:hAnsi="Courier New"/>
          <w:color w:val="404040"/>
          <w:sz w:val="16"/>
        </w:rPr>
        <w:t>K_blended = Coverage × K_covered + (1 − Coverage) × K_uncovered</w:t>
      </w:r>
    </w:p>
    <w:p>
      <w:r>
        <w:rPr>
          <w:b/>
        </w:rPr>
        <w:t>Why split-K, not blended PD?</w:t>
      </w:r>
      <w:r>
        <w:t xml:space="preserve"> The capital formula K is </w:t>
      </w:r>
      <w:r>
        <w:rPr>
          <w:b/>
        </w:rPr>
        <w:t>non-linear</w:t>
      </w:r>
      <w:r>
        <w:t xml:space="preserve"> in PD. Blending PDs before feeding to K produces a different (typically overstated) result compared to computing K separately and then blending.</w:t>
      </w:r>
    </w:p>
    <w:p>
      <w:pPr>
        <w:pStyle w:val="Heading3"/>
        <w:jc w:val="left"/>
      </w:pPr>
      <w:r>
        <w:t>6.4 Step D — CDS Double-Default (CRE22.10)</w:t>
      </w:r>
    </w:p>
    <w:p>
      <w:r>
        <w:t>When a CDS provides protection and both the obligor and the protection seller would need to default simultaneously for the bank to suffer a loss:</w:t>
      </w:r>
    </w:p>
    <w:p>
      <w:pPr>
        <w:shd w:fill="F5F5F5"/>
      </w:pPr>
      <w:r>
        <w:rPr>
          <w:rFonts w:ascii="Courier New" w:hAnsi="Courier New"/>
          <w:color w:val="404040"/>
          <w:sz w:val="16"/>
        </w:rPr>
        <w:t>PD_dd = PD_obligor × (0.15 + 160 × PD_guarantor)</w:t>
      </w:r>
    </w:p>
    <w:p>
      <w:r>
        <w:t xml:space="preserve">This formula recognises that </w:t>
      </w:r>
      <w:r>
        <w:rPr>
          <w:b/>
        </w:rPr>
        <w:t>joint default probability</w:t>
      </w:r>
      <w:r>
        <w:t xml:space="preserve"> is far lower than either individual PD. The maximum benefit is floored at `PD</w:t>
      </w:r>
      <w:r>
        <w:rPr>
          <w:i/>
        </w:rPr>
        <w:t>floor` and capped at `PD</w:t>
      </w:r>
      <w:r>
        <w:t>obligor` (double-default cannot increase capital).</w:t>
      </w:r>
    </w:p>
    <w:p>
      <w:pPr>
        <w:pStyle w:val="Heading2"/>
        <w:jc w:val="left"/>
      </w:pPr>
      <w:r>
        <w:t>7. Expected Loss and Provisions — CRE35</w:t>
      </w:r>
    </w:p>
    <w:p>
      <w:pPr>
        <w:pStyle w:val="Heading3"/>
        <w:jc w:val="left"/>
      </w:pPr>
      <w:r>
        <w:t>7.1 Expected Loss</w:t>
      </w:r>
    </w:p>
    <w:p>
      <w:pPr>
        <w:shd w:fill="F5F5F5"/>
      </w:pPr>
      <w:r>
        <w:rPr>
          <w:rFonts w:ascii="Courier New" w:hAnsi="Courier New"/>
          <w:color w:val="404040"/>
          <w:sz w:val="16"/>
        </w:rPr>
        <w:t>EL = PD × LGD × EAD</w:t>
      </w:r>
    </w:p>
    <w:p>
      <w:r>
        <w:t xml:space="preserve">EL is the </w:t>
      </w:r>
      <w:r>
        <w:rPr>
          <w:b/>
        </w:rPr>
        <w:t>average loss</w:t>
      </w:r>
      <w:r>
        <w:t xml:space="preserve"> the bank expects over a 1-year horizon. It is not capital — it should be covered by </w:t>
      </w:r>
      <w:r>
        <w:rPr>
          <w:b/>
        </w:rPr>
        <w:t>loan loss provisions</w:t>
      </w:r>
      <w:r>
        <w:t xml:space="preserve"> (accounting reserves).</w:t>
      </w:r>
    </w:p>
    <w:p>
      <w:pPr>
        <w:pStyle w:val="Heading3"/>
        <w:jc w:val="left"/>
      </w:pPr>
      <w:r>
        <w:t>7.2 CET1 Shortfall vs. Tier 2 Excess</w:t>
      </w:r>
    </w:p>
    <w:p>
      <w:r>
        <w:t>Under CRE35, the bank compares EL to its eligible provisions:</w:t>
      </w:r>
    </w:p>
    <w:p>
      <w:pPr>
        <w:shd w:fill="F5F5F5"/>
      </w:pPr>
      <w:r>
        <w:rPr>
          <w:rFonts w:ascii="Courier New" w:hAnsi="Courier New"/>
          <w:color w:val="404040"/>
          <w:sz w:val="16"/>
        </w:rPr>
        <w:t>EL_diff = EL − Eligible Provisions</w:t>
      </w:r>
    </w:p>
    <w:p>
      <w:pPr>
        <w:shd w:fill="F5F5F5"/>
      </w:pPr>
      <w:r>
        <w:rPr>
          <w:rFonts w:ascii="Courier New" w:hAnsi="Courier New"/>
          <w:color w:val="404040"/>
          <w:sz w:val="16"/>
        </w:rPr>
        <w:t>If EL_diff &gt; 0:    CET1 Deduction = EL_diff           (insufficient provisioning)</w:t>
      </w:r>
    </w:p>
    <w:p>
      <w:pPr>
        <w:shd w:fill="F5F5F5"/>
      </w:pPr>
      <w:r>
        <w:rPr>
          <w:rFonts w:ascii="Courier New" w:hAnsi="Courier New"/>
          <w:color w:val="404040"/>
          <w:sz w:val="16"/>
        </w:rPr>
        <w:t>If EL_diff &lt; 0:    Tier 2 Add-back = min(|EL_diff|, 0.6% × RWA)</w:t>
      </w:r>
    </w:p>
    <w:p>
      <w:r>
        <w:t xml:space="preserve">Only </w:t>
      </w:r>
      <w:r>
        <w:rPr>
          <w:b/>
        </w:rPr>
        <w:t>Stage 3 (credit-impaired) specific provisions</w:t>
      </w:r>
      <w:r>
        <w:t xml:space="preserve"> under IFRS 9 are eligible for this offset. Stage 1 (12-month ECL) and Stage 2 (lifetime ECL, non-impaired) general provisions do not qualify.</w:t>
      </w:r>
    </w:p>
    <w:p>
      <w:r>
        <w:rPr>
          <w:b/>
        </w:rPr>
        <w:t>Capital impact:</w:t>
      </w:r>
      <w:r>
        <w:t xml:space="preserve"> A bank that is under-provisioned (EL &gt; provisions) must deduct the shortfall from its highest-quality capital (CET1). This directly reduces the CET1 ratio.</w:t>
      </w:r>
    </w:p>
    <w:p>
      <w:pPr>
        <w:pStyle w:val="Heading2"/>
        <w:jc w:val="left"/>
      </w:pPr>
      <w:r>
        <w:t>8. Double-Default Framework — CRE22</w:t>
      </w:r>
    </w:p>
    <w:p>
      <w:r>
        <w:t>The double-default formula (CRE22.10) is reproduced here in full:</w:t>
      </w:r>
    </w:p>
    <w:p>
      <w:pPr>
        <w:shd w:fill="F5F5F5"/>
      </w:pPr>
      <w:r>
        <w:rPr>
          <w:rFonts w:ascii="Courier New" w:hAnsi="Courier New"/>
          <w:color w:val="404040"/>
          <w:sz w:val="16"/>
        </w:rPr>
        <w:t>PD_dd = PD_obligor × (0.15 + 160 × PD_guarantor)</w:t>
      </w:r>
    </w:p>
    <w:p>
      <w:r>
        <w:rPr>
          <w:b/>
        </w:rPr>
        <w:t>Worked example:</w:t>
      </w:r>
    </w:p>
    <w:p>
      <w:pPr>
        <w:shd w:fill="F5F5F5"/>
      </w:pPr>
      <w:r>
        <w:rPr>
          <w:rFonts w:ascii="Courier New" w:hAnsi="Courier New"/>
          <w:color w:val="404040"/>
          <w:sz w:val="16"/>
        </w:rPr>
        <w:t>PD_obligor   = 2.00%   (BBB-rated corporate)</w:t>
      </w:r>
    </w:p>
    <w:p>
      <w:pPr>
        <w:shd w:fill="F5F5F5"/>
      </w:pPr>
      <w:r>
        <w:rPr>
          <w:rFonts w:ascii="Courier New" w:hAnsi="Courier New"/>
          <w:color w:val="404040"/>
          <w:sz w:val="16"/>
        </w:rPr>
        <w:t>PD_guarantor = 0.10%   (AA-rated bank guarantee)</w:t>
      </w:r>
    </w:p>
    <w:p>
      <w:pPr>
        <w:shd w:fill="F5F5F5"/>
      </w:pPr>
      <w:r>
        <w:rPr>
          <w:rFonts w:ascii="Courier New" w:hAnsi="Courier New"/>
          <w:color w:val="404040"/>
          <w:sz w:val="16"/>
        </w:rPr>
        <w:t>PD_dd = 0.02 × (0.15 + 160 × 0.001)</w:t>
      </w:r>
    </w:p>
    <w:p>
      <w:pPr>
        <w:shd w:fill="F5F5F5"/>
      </w:pPr>
      <w:r>
        <w:rPr>
          <w:rFonts w:ascii="Courier New" w:hAnsi="Courier New"/>
          <w:color w:val="404040"/>
          <w:sz w:val="16"/>
        </w:rPr>
        <w:t xml:space="preserve">       = 0.02 × (0.15 + 0.16)</w:t>
      </w:r>
    </w:p>
    <w:p>
      <w:pPr>
        <w:shd w:fill="F5F5F5"/>
      </w:pPr>
      <w:r>
        <w:rPr>
          <w:rFonts w:ascii="Courier New" w:hAnsi="Courier New"/>
          <w:color w:val="404040"/>
          <w:sz w:val="16"/>
        </w:rPr>
        <w:t xml:space="preserve">       = 0.02 × 0.31</w:t>
      </w:r>
    </w:p>
    <w:p>
      <w:pPr>
        <w:shd w:fill="F5F5F5"/>
      </w:pPr>
      <w:r>
        <w:rPr>
          <w:rFonts w:ascii="Courier New" w:hAnsi="Courier New"/>
          <w:color w:val="404040"/>
          <w:sz w:val="16"/>
        </w:rPr>
        <w:t xml:space="preserve">       = 0.62%</w:t>
      </w:r>
    </w:p>
    <w:p>
      <w:pPr>
        <w:shd w:fill="F5F5F5"/>
      </w:pPr>
      <w:r>
        <w:rPr>
          <w:rFonts w:ascii="Courier New" w:hAnsi="Courier New"/>
          <w:color w:val="404040"/>
          <w:sz w:val="16"/>
        </w:rPr>
        <w:t>Capital reduction: from 2.00% PD to 0.62% PD → significant RWA savings</w:t>
      </w:r>
    </w:p>
    <w:p>
      <w:r>
        <w:t>The 0.15 term represents the minimum contribution of the obligor's standalone risk even with a guarantor. The 160 × PD_g term amplifies the guarantor's quality — a higher-rated guarantor provides more benefit.</w:t>
      </w:r>
    </w:p>
    <w:p>
      <w:pPr>
        <w:pStyle w:val="Heading2"/>
        <w:jc w:val="left"/>
      </w:pPr>
      <w:r>
        <w:t>9. Macroeconomic Overlay (Pillar 2 / ICAAP)</w:t>
      </w:r>
    </w:p>
    <w:p>
      <w:r>
        <w:t xml:space="preserve">The `MacroeconomicOverlay` class adjusts PD and LGD based on current market conditions. This is a </w:t>
      </w:r>
      <w:r>
        <w:rPr>
          <w:b/>
        </w:rPr>
        <w:t>Pillar 2 / ICAAP</w:t>
      </w:r>
      <w:r>
        <w:t xml:space="preserve"> tool — it never feeds into Pillar 1 regulatory capital.</w:t>
      </w:r>
    </w:p>
    <w:p>
      <w:pPr>
        <w:pStyle w:val="Heading3"/>
        <w:jc w:val="left"/>
      </w:pPr>
      <w:r>
        <w:t>9.1 PD Macro Adjustment</w:t>
      </w:r>
    </w:p>
    <w:p>
      <w:pPr>
        <w:shd w:fill="F5F5F5"/>
      </w:pPr>
      <w:r>
        <w:rPr>
          <w:rFonts w:ascii="Courier New" w:hAnsi="Courier New"/>
          <w:color w:val="404040"/>
          <w:sz w:val="16"/>
        </w:rPr>
        <w:t>PD_adjusted = PD_base × (1 + vix_impact + gdp_impact + default_impact)</w:t>
      </w:r>
    </w:p>
    <w:p>
      <w:pPr>
        <w:shd w:fill="F5F5F5"/>
      </w:pPr>
      <w:r>
        <w:rPr>
          <w:rFonts w:ascii="Courier New" w:hAnsi="Courier New"/>
          <w:color w:val="404040"/>
          <w:sz w:val="16"/>
        </w:rPr>
        <w:t>vix_impact     = 0.15 × (VIX − 15) / 10</w:t>
      </w:r>
    </w:p>
    <w:p>
      <w:pPr>
        <w:shd w:fill="F5F5F5"/>
      </w:pPr>
      <w:r>
        <w:rPr>
          <w:rFonts w:ascii="Courier New" w:hAnsi="Courier New"/>
          <w:color w:val="404040"/>
          <w:sz w:val="16"/>
        </w:rPr>
        <w:t>gdp_impact     = −0.20 × (GDP_growth − 2.0%)</w:t>
      </w:r>
    </w:p>
    <w:p>
      <w:pPr>
        <w:shd w:fill="F5F5F5"/>
      </w:pPr>
      <w:r>
        <w:rPr>
          <w:rFonts w:ascii="Courier New" w:hAnsi="Courier New"/>
          <w:color w:val="404040"/>
          <w:sz w:val="16"/>
        </w:rPr>
        <w:t>default_impact = 0.50 × (credit_default_rate − 2%)</w:t>
      </w:r>
    </w:p>
    <w:p>
      <w:pPr>
        <w:shd w:fill="F5F5F5"/>
      </w:pPr>
      <w:r>
        <w:rPr>
          <w:rFonts w:ascii="Courier New" w:hAnsi="Courier New"/>
          <w:color w:val="404040"/>
          <w:sz w:val="16"/>
        </w:rPr>
        <w:t>Adjustment factor clamped to [0.5×, 3.0×]</w:t>
      </w:r>
    </w:p>
    <w:p>
      <w:r>
        <w:rPr>
          <w:b/>
        </w:rPr>
        <w:t>Interpretation:</w:t>
      </w:r>
    </w:p>
    <w:p>
      <w:pPr>
        <w:pStyle w:val="ListBullet"/>
      </w:pPr>
      <w:r>
        <w:t>VIX rising from 15 to 25 (a stress event) → PD_adjusted = PD_base × 1.15</w:t>
      </w:r>
    </w:p>
    <w:p>
      <w:pPr>
        <w:pStyle w:val="ListBullet"/>
      </w:pPr>
      <w:r>
        <w:t>GDP falling from 2% to −1% (a recession) → PD_adjusted = PD_base × 1.60</w:t>
      </w:r>
    </w:p>
    <w:p>
      <w:pPr>
        <w:pStyle w:val="ListBullet"/>
      </w:pPr>
      <w:r>
        <w:t>Charge-off rate rising from 0.5% to 2% → PD_adjusted = PD_base × 1.75</w:t>
      </w:r>
    </w:p>
    <w:p>
      <w:pPr>
        <w:pStyle w:val="Heading3"/>
        <w:jc w:val="left"/>
      </w:pPr>
      <w:r>
        <w:t>9.2 LGD Macro Adjustment (Frye Effect)</w:t>
      </w:r>
    </w:p>
    <w:p>
      <w:pPr>
        <w:shd w:fill="F5F5F5"/>
      </w:pPr>
      <w:r>
        <w:rPr>
          <w:rFonts w:ascii="Courier New" w:hAnsi="Courier New"/>
          <w:color w:val="404040"/>
          <w:sz w:val="16"/>
        </w:rPr>
        <w:t>LGD_adjusted = LGD_base × (1 + spread_impact + default_impact)</w:t>
      </w:r>
    </w:p>
    <w:p>
      <w:pPr>
        <w:shd w:fill="F5F5F5"/>
      </w:pPr>
      <w:r>
        <w:rPr>
          <w:rFonts w:ascii="Courier New" w:hAnsi="Courier New"/>
          <w:color w:val="404040"/>
          <w:sz w:val="16"/>
        </w:rPr>
        <w:t>spread_impact  = 0.10 × (HY_spread_bp − 400bp) / 100</w:t>
      </w:r>
    </w:p>
    <w:p>
      <w:pPr>
        <w:shd w:fill="F5F5F5"/>
      </w:pPr>
      <w:r>
        <w:rPr>
          <w:rFonts w:ascii="Courier New" w:hAnsi="Courier New"/>
          <w:color w:val="404040"/>
          <w:sz w:val="16"/>
        </w:rPr>
        <w:t>default_impact = 0.30 × (credit_default_rate − 2%)</w:t>
      </w:r>
    </w:p>
    <w:p>
      <w:pPr>
        <w:shd w:fill="F5F5F5"/>
      </w:pPr>
      <w:r>
        <w:rPr>
          <w:rFonts w:ascii="Courier New" w:hAnsi="Courier New"/>
          <w:color w:val="404040"/>
          <w:sz w:val="16"/>
        </w:rPr>
        <w:t>Adjustment factor clamped to [0.7×, 1.5×]</w:t>
      </w:r>
    </w:p>
    <w:p>
      <w:r>
        <w:rPr>
          <w:b/>
        </w:rPr>
        <w:t>Why LGD rises in crises (Frye effect):</w:t>
      </w:r>
      <w:r>
        <w:t xml:space="preserve"> When many borrowers default simultaneously, the market for distressed assets becomes flooded. Recovery values fall because there are too many assets being liquidated at once and too few buyers. This is the </w:t>
      </w:r>
      <w:r>
        <w:rPr>
          <w:b/>
        </w:rPr>
        <w:t>procyclicality</w:t>
      </w:r>
      <w:r>
        <w:t xml:space="preserve"> of LGD — PD and LGD are positively correlated in crisis.</w:t>
      </w:r>
    </w:p>
    <w:p>
      <w:pPr>
        <w:pStyle w:val="Heading3"/>
        <w:jc w:val="left"/>
      </w:pPr>
      <w:r>
        <w:t>9.3 Stress Index</w:t>
      </w:r>
    </w:p>
    <w:p>
      <w:r>
        <w:t>The macro conditions are summarised into a composite stress index ∈ [0, 1]:</w:t>
      </w:r>
    </w:p>
    <w:p>
      <w:pPr>
        <w:shd w:fill="F5F5F5"/>
      </w:pPr>
      <w:r>
        <w:rPr>
          <w:rFonts w:ascii="Courier New" w:hAnsi="Courier New"/>
          <w:color w:val="404040"/>
          <w:sz w:val="16"/>
        </w:rPr>
        <w:t>Stress Index = 0.25 × VIX/80 + 0.35 × (HY_spread − 300bp)/1000bp</w:t>
      </w:r>
    </w:p>
    <w:p>
      <w:pPr>
        <w:shd w:fill="F5F5F5"/>
      </w:pPr>
      <w:r>
        <w:rPr>
          <w:rFonts w:ascii="Courier New" w:hAnsi="Courier New"/>
          <w:color w:val="404040"/>
          <w:sz w:val="16"/>
        </w:rPr>
        <w:t xml:space="preserve">             + 0.20 × (Unemployment − 3%)/5% + 0.20 × ChargeOff/10%</w:t>
      </w:r>
    </w:p>
    <w:p>
      <w:pPr>
        <w:shd w:fill="F5F5F5"/>
      </w:pPr>
      <w:r>
        <w:rPr>
          <w:rFonts w:ascii="Courier New" w:hAnsi="Courier New"/>
          <w:color w:val="404040"/>
          <w:sz w:val="16"/>
        </w:rPr>
        <w:t>Regime Classification:</w:t>
      </w:r>
    </w:p>
    <w:p>
      <w:pPr>
        <w:shd w:fill="F5F5F5"/>
      </w:pPr>
      <w:r>
        <w:rPr>
          <w:rFonts w:ascii="Courier New" w:hAnsi="Courier New"/>
          <w:color w:val="404040"/>
          <w:sz w:val="16"/>
        </w:rPr>
        <w:t xml:space="preserve">  Stress &lt; 0.30  → NORMAL</w:t>
      </w:r>
    </w:p>
    <w:p>
      <w:pPr>
        <w:shd w:fill="F5F5F5"/>
      </w:pPr>
      <w:r>
        <w:rPr>
          <w:rFonts w:ascii="Courier New" w:hAnsi="Courier New"/>
          <w:color w:val="404040"/>
          <w:sz w:val="16"/>
        </w:rPr>
        <w:t xml:space="preserve">  Stress ∈ [0.30, 0.60) → STRESSED</w:t>
      </w:r>
    </w:p>
    <w:p>
      <w:pPr>
        <w:shd w:fill="F5F5F5"/>
      </w:pPr>
      <w:r>
        <w:rPr>
          <w:rFonts w:ascii="Courier New" w:hAnsi="Courier New"/>
          <w:color w:val="404040"/>
          <w:sz w:val="16"/>
        </w:rPr>
        <w:t xml:space="preserve">  Stress ≥ 0.60  → CRISIS</w:t>
      </w:r>
    </w:p>
    <w:p>
      <w:pPr>
        <w:pStyle w:val="Heading2"/>
        <w:jc w:val="left"/>
      </w:pPr>
      <w:r>
        <w:t>10. Dynamic Correlation Model (Pillar 2)</w:t>
      </w:r>
    </w:p>
    <w:p>
      <w:r>
        <w:t>The `DynamicCorrelationModel` provides a regime-dependent view of asset correlation for Pillar 2 / ICAAP stress testing: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Asset Class</w:t>
            </w:r>
          </w:p>
        </w:tc>
        <w:tc>
          <w:tcPr>
            <w:tcW w:type="dxa" w:w="1728"/>
          </w:tcPr>
          <w:p>
            <w:r>
              <w:rPr>
                <w:b/>
                <w:sz w:val="20"/>
              </w:rPr>
              <w:t>Normal R</w:t>
            </w:r>
          </w:p>
        </w:tc>
        <w:tc>
          <w:tcPr>
            <w:tcW w:type="dxa" w:w="1728"/>
          </w:tcPr>
          <w:p>
            <w:r>
              <w:rPr>
                <w:b/>
                <w:sz w:val="20"/>
              </w:rPr>
              <w:t>Stressed R</w:t>
            </w:r>
          </w:p>
        </w:tc>
        <w:tc>
          <w:tcPr>
            <w:tcW w:type="dxa" w:w="1728"/>
          </w:tcPr>
          <w:p>
            <w:r>
              <w:rPr>
                <w:b/>
                <w:sz w:val="20"/>
              </w:rPr>
              <w:t>Crisis R</w:t>
            </w:r>
          </w:p>
        </w:tc>
        <w:tc>
          <w:tcPr>
            <w:tcW w:type="dxa" w:w="1728"/>
          </w:tcPr>
          <w:p>
            <w:r>
              <w:rPr>
                <w:b/>
                <w:sz w:val="20"/>
              </w:rPr>
              <w:t>CRE31.5 Cap</w:t>
            </w:r>
          </w:p>
        </w:tc>
      </w:tr>
      <w:tr>
        <w:tc>
          <w:tcPr>
            <w:tcW w:type="dxa" w:w="1728"/>
          </w:tcPr>
          <w:p>
            <w:r>
              <w:t>CORP</w:t>
            </w:r>
          </w:p>
        </w:tc>
        <w:tc>
          <w:tcPr>
            <w:tcW w:type="dxa" w:w="1728"/>
          </w:tcPr>
          <w:p>
            <w:r>
              <w:t>0.20</w:t>
            </w:r>
          </w:p>
        </w:tc>
        <w:tc>
          <w:tcPr>
            <w:tcW w:type="dxa" w:w="1728"/>
          </w:tcPr>
          <w:p>
            <w:r>
              <w:t>0.22</w:t>
            </w:r>
          </w:p>
        </w:tc>
        <w:tc>
          <w:tcPr>
            <w:tcW w:type="dxa" w:w="1728"/>
          </w:tcPr>
          <w:p>
            <w:r>
              <w:t>**0.24**</w:t>
            </w:r>
          </w:p>
        </w:tc>
        <w:tc>
          <w:tcPr>
            <w:tcW w:type="dxa" w:w="1728"/>
          </w:tcPr>
          <w:p>
            <w:r>
              <w:t>0.24</w:t>
            </w:r>
          </w:p>
        </w:tc>
      </w:tr>
      <w:tr>
        <w:tc>
          <w:tcPr>
            <w:tcW w:type="dxa" w:w="1728"/>
          </w:tcPr>
          <w:p>
            <w:r>
              <w:t>BANK</w:t>
            </w:r>
          </w:p>
        </w:tc>
        <w:tc>
          <w:tcPr>
            <w:tcW w:type="dxa" w:w="1728"/>
          </w:tcPr>
          <w:p>
            <w:r>
              <w:t>0.22</w:t>
            </w:r>
          </w:p>
        </w:tc>
        <w:tc>
          <w:tcPr>
            <w:tcW w:type="dxa" w:w="1728"/>
          </w:tcPr>
          <w:p>
            <w:r>
              <w:t>0.23</w:t>
            </w:r>
          </w:p>
        </w:tc>
        <w:tc>
          <w:tcPr>
            <w:tcW w:type="dxa" w:w="1728"/>
          </w:tcPr>
          <w:p>
            <w:r>
              <w:t>**0.24**</w:t>
            </w:r>
          </w:p>
        </w:tc>
        <w:tc>
          <w:tcPr>
            <w:tcW w:type="dxa" w:w="1728"/>
          </w:tcPr>
          <w:p>
            <w:r>
              <w:t>0.24 (×1.25 = 0.30 for large FI)</w:t>
            </w:r>
          </w:p>
        </w:tc>
      </w:tr>
      <w:tr>
        <w:tc>
          <w:tcPr>
            <w:tcW w:type="dxa" w:w="1728"/>
          </w:tcPr>
          <w:p>
            <w:r>
              <w:t>SOVEREIGN</w:t>
            </w:r>
          </w:p>
        </w:tc>
        <w:tc>
          <w:tcPr>
            <w:tcW w:type="dxa" w:w="1728"/>
          </w:tcPr>
          <w:p>
            <w:r>
              <w:t>0.14</w:t>
            </w:r>
          </w:p>
        </w:tc>
        <w:tc>
          <w:tcPr>
            <w:tcW w:type="dxa" w:w="1728"/>
          </w:tcPr>
          <w:p>
            <w:r>
              <w:t>0.17</w:t>
            </w:r>
          </w:p>
        </w:tc>
        <w:tc>
          <w:tcPr>
            <w:tcW w:type="dxa" w:w="1728"/>
          </w:tcPr>
          <w:p>
            <w:r>
              <w:t>0.20</w:t>
            </w:r>
          </w:p>
        </w:tc>
        <w:tc>
          <w:tcPr>
            <w:tcW w:type="dxa" w:w="1728"/>
          </w:tcPr>
          <w:p>
            <w:r>
              <w:t>0.24</w:t>
            </w:r>
          </w:p>
        </w:tc>
      </w:tr>
      <w:tr>
        <w:tc>
          <w:tcPr>
            <w:tcW w:type="dxa" w:w="1728"/>
          </w:tcPr>
          <w:p>
            <w:r>
              <w:t>RETAIL_MORT</w:t>
            </w:r>
          </w:p>
        </w:tc>
        <w:tc>
          <w:tcPr>
            <w:tcW w:type="dxa" w:w="1728"/>
          </w:tcPr>
          <w:p>
            <w:r>
              <w:t>0.15</w:t>
            </w:r>
          </w:p>
        </w:tc>
        <w:tc>
          <w:tcPr>
            <w:tcW w:type="dxa" w:w="1728"/>
          </w:tcPr>
          <w:p>
            <w:r>
              <w:t>0.15</w:t>
            </w:r>
          </w:p>
        </w:tc>
        <w:tc>
          <w:tcPr>
            <w:tcW w:type="dxa" w:w="1728"/>
          </w:tcPr>
          <w:p>
            <w:r>
              <w:t>0.15</w:t>
            </w:r>
          </w:p>
        </w:tc>
        <w:tc>
          <w:tcPr>
            <w:tcW w:type="dxa" w:w="1728"/>
          </w:tcPr>
          <w:p>
            <w:r>
              <w:t>Fixed (CRE31.13)</w:t>
            </w:r>
          </w:p>
        </w:tc>
      </w:tr>
      <w:tr>
        <w:tc>
          <w:tcPr>
            <w:tcW w:type="dxa" w:w="1728"/>
          </w:tcPr>
          <w:p>
            <w:r>
              <w:t>RETAIL_REV</w:t>
            </w:r>
          </w:p>
        </w:tc>
        <w:tc>
          <w:tcPr>
            <w:tcW w:type="dxa" w:w="1728"/>
          </w:tcPr>
          <w:p>
            <w:r>
              <w:t>0.04</w:t>
            </w:r>
          </w:p>
        </w:tc>
        <w:tc>
          <w:tcPr>
            <w:tcW w:type="dxa" w:w="1728"/>
          </w:tcPr>
          <w:p>
            <w:r>
              <w:t>0.04</w:t>
            </w:r>
          </w:p>
        </w:tc>
        <w:tc>
          <w:tcPr>
            <w:tcW w:type="dxa" w:w="1728"/>
          </w:tcPr>
          <w:p>
            <w:r>
              <w:t>0.04</w:t>
            </w:r>
          </w:p>
        </w:tc>
        <w:tc>
          <w:tcPr>
            <w:tcW w:type="dxa" w:w="1728"/>
          </w:tcPr>
          <w:p>
            <w:r>
              <w:t>Fixed (CRE31.14)</w:t>
            </w:r>
          </w:p>
        </w:tc>
      </w:tr>
      <w:tr>
        <w:tc>
          <w:tcPr>
            <w:tcW w:type="dxa" w:w="1728"/>
          </w:tcPr>
          <w:p>
            <w:r>
              <w:t>RETAIL_OTHER</w:t>
            </w:r>
          </w:p>
        </w:tc>
        <w:tc>
          <w:tcPr>
            <w:tcW w:type="dxa" w:w="1728"/>
          </w:tcPr>
          <w:p>
            <w:r>
              <w:t>0.10</w:t>
            </w:r>
          </w:p>
        </w:tc>
        <w:tc>
          <w:tcPr>
            <w:tcW w:type="dxa" w:w="1728"/>
          </w:tcPr>
          <w:p>
            <w:r>
              <w:t>0.12</w:t>
            </w:r>
          </w:p>
        </w:tc>
        <w:tc>
          <w:tcPr>
            <w:tcW w:type="dxa" w:w="1728"/>
          </w:tcPr>
          <w:p>
            <w:r>
              <w:t>0.15</w:t>
            </w:r>
          </w:p>
        </w:tc>
        <w:tc>
          <w:tcPr>
            <w:tcW w:type="dxa" w:w="1728"/>
          </w:tcPr>
          <w:p>
            <w:r>
              <w:t>0.16</w:t>
            </w:r>
          </w:p>
        </w:tc>
      </w:tr>
    </w:tbl>
    <w:p>
      <w:r>
        <w:rPr>
          <w:b/>
        </w:rPr>
        <w:t>Important:</w:t>
      </w:r>
      <w:r>
        <w:t xml:space="preserve"> Even in Pillar 2, all values are capped at the CRE31.5 regulatory ceiling. Previous implementations had crisis values of 0.40–0.85, which were empirically implausible and produced ICAAP capital 3–4× above Pillar 1.</w:t>
      </w:r>
    </w:p>
    <w:p>
      <w:pPr>
        <w:pStyle w:val="Heading2"/>
        <w:jc w:val="left"/>
      </w:pPr>
      <w:r>
        <w:t>11. Stressed vs. Baseline Regime</w:t>
      </w:r>
    </w:p>
    <w:p>
      <w:r>
        <w:t>When `use_stressed_params = True`, PD and LGD are multiplied by regime-specific stress factors before the capital formula: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Asset Class</w:t>
            </w:r>
          </w:p>
        </w:tc>
        <w:tc>
          <w:tcPr>
            <w:tcW w:type="dxa" w:w="2160"/>
          </w:tcPr>
          <w:p>
            <w:r>
              <w:rPr>
                <w:b/>
                <w:sz w:val="20"/>
              </w:rPr>
              <w:t>PD Stress Factor</w:t>
            </w:r>
          </w:p>
        </w:tc>
        <w:tc>
          <w:tcPr>
            <w:tcW w:type="dxa" w:w="2160"/>
          </w:tcPr>
          <w:p>
            <w:r>
              <w:rPr>
                <w:b/>
                <w:sz w:val="20"/>
              </w:rPr>
              <w:t>LGD Stress Factor</w:t>
            </w:r>
          </w:p>
        </w:tc>
        <w:tc>
          <w:tcPr>
            <w:tcW w:type="dxa" w:w="2160"/>
          </w:tcPr>
          <w:p>
            <w:r>
              <w:rPr>
                <w:b/>
                <w:sz w:val="20"/>
              </w:rPr>
              <w:t>Use Case</w:t>
            </w:r>
          </w:p>
        </w:tc>
      </w:tr>
      <w:tr>
        <w:tc>
          <w:tcPr>
            <w:tcW w:type="dxa" w:w="2160"/>
          </w:tcPr>
          <w:p>
            <w:r>
              <w:t>CORP</w:t>
            </w:r>
          </w:p>
        </w:tc>
        <w:tc>
          <w:tcPr>
            <w:tcW w:type="dxa" w:w="2160"/>
          </w:tcPr>
          <w:p>
            <w:r>
              <w:t>1.5×</w:t>
            </w:r>
          </w:p>
        </w:tc>
        <w:tc>
          <w:tcPr>
            <w:tcW w:type="dxa" w:w="2160"/>
          </w:tcPr>
          <w:p>
            <w:r>
              <w:t>1.2×</w:t>
            </w:r>
          </w:p>
        </w:tc>
        <w:tc>
          <w:tcPr>
            <w:tcW w:type="dxa" w:w="2160"/>
          </w:tcPr>
          <w:p>
            <w:r>
              <w:t>Recession / credit cycle downturn</w:t>
            </w:r>
          </w:p>
        </w:tc>
      </w:tr>
      <w:tr>
        <w:tc>
          <w:tcPr>
            <w:tcW w:type="dxa" w:w="2160"/>
          </w:tcPr>
          <w:p>
            <w:r>
              <w:t>BANK</w:t>
            </w:r>
          </w:p>
        </w:tc>
        <w:tc>
          <w:tcPr>
            <w:tcW w:type="dxa" w:w="2160"/>
          </w:tcPr>
          <w:p>
            <w:r>
              <w:t>1.4×</w:t>
            </w:r>
          </w:p>
        </w:tc>
        <w:tc>
          <w:tcPr>
            <w:tcW w:type="dxa" w:w="2160"/>
          </w:tcPr>
          <w:p>
            <w:r>
              <w:t>1.15×</w:t>
            </w:r>
          </w:p>
        </w:tc>
        <w:tc>
          <w:tcPr>
            <w:tcW w:type="dxa" w:w="2160"/>
          </w:tcPr>
          <w:p>
            <w:r>
              <w:t>Financial sector stress</w:t>
            </w:r>
          </w:p>
        </w:tc>
      </w:tr>
      <w:tr>
        <w:tc>
          <w:tcPr>
            <w:tcW w:type="dxa" w:w="2160"/>
          </w:tcPr>
          <w:p>
            <w:r>
              <w:t>SOVEREIGN</w:t>
            </w:r>
          </w:p>
        </w:tc>
        <w:tc>
          <w:tcPr>
            <w:tcW w:type="dxa" w:w="2160"/>
          </w:tcPr>
          <w:p>
            <w:r>
              <w:t>1.2×</w:t>
            </w:r>
          </w:p>
        </w:tc>
        <w:tc>
          <w:tcPr>
            <w:tcW w:type="dxa" w:w="2160"/>
          </w:tcPr>
          <w:p>
            <w:r>
              <w:t>1.1×</w:t>
            </w:r>
          </w:p>
        </w:tc>
        <w:tc>
          <w:tcPr>
            <w:tcW w:type="dxa" w:w="2160"/>
          </w:tcPr>
          <w:p>
            <w:r>
              <w:t>Sovereign rating deterioration</w:t>
            </w:r>
          </w:p>
        </w:tc>
      </w:tr>
      <w:tr>
        <w:tc>
          <w:tcPr>
            <w:tcW w:type="dxa" w:w="2160"/>
          </w:tcPr>
          <w:p>
            <w:r>
              <w:t>HVCRE</w:t>
            </w:r>
          </w:p>
        </w:tc>
        <w:tc>
          <w:tcPr>
            <w:tcW w:type="dxa" w:w="2160"/>
          </w:tcPr>
          <w:p>
            <w:r>
              <w:t>1.6×</w:t>
            </w:r>
          </w:p>
        </w:tc>
        <w:tc>
          <w:tcPr>
            <w:tcW w:type="dxa" w:w="2160"/>
          </w:tcPr>
          <w:p>
            <w:r>
              <w:t>1.25×</w:t>
            </w:r>
          </w:p>
        </w:tc>
        <w:tc>
          <w:tcPr>
            <w:tcW w:type="dxa" w:w="2160"/>
          </w:tcPr>
          <w:p>
            <w:r>
              <w:t>Real estate market correction</w:t>
            </w:r>
          </w:p>
        </w:tc>
      </w:tr>
      <w:tr>
        <w:tc>
          <w:tcPr>
            <w:tcW w:type="dxa" w:w="2160"/>
          </w:tcPr>
          <w:p>
            <w:r>
              <w:t>RETAIL_MORT</w:t>
            </w:r>
          </w:p>
        </w:tc>
        <w:tc>
          <w:tcPr>
            <w:tcW w:type="dxa" w:w="2160"/>
          </w:tcPr>
          <w:p>
            <w:r>
              <w:t>1.3×</w:t>
            </w:r>
          </w:p>
        </w:tc>
        <w:tc>
          <w:tcPr>
            <w:tcW w:type="dxa" w:w="2160"/>
          </w:tcPr>
          <w:p>
            <w:r>
              <w:t>1.25×</w:t>
            </w:r>
          </w:p>
        </w:tc>
        <w:tc>
          <w:tcPr>
            <w:tcW w:type="dxa" w:w="2160"/>
          </w:tcPr>
          <w:p>
            <w:r>
              <w:t>House price decline</w:t>
            </w:r>
          </w:p>
        </w:tc>
      </w:tr>
      <w:tr>
        <w:tc>
          <w:tcPr>
            <w:tcW w:type="dxa" w:w="2160"/>
          </w:tcPr>
          <w:p>
            <w:r>
              <w:t>RETAIL_REV</w:t>
            </w:r>
          </w:p>
        </w:tc>
        <w:tc>
          <w:tcPr>
            <w:tcW w:type="dxa" w:w="2160"/>
          </w:tcPr>
          <w:p>
            <w:r>
              <w:t>1.6×</w:t>
            </w:r>
          </w:p>
        </w:tc>
        <w:tc>
          <w:tcPr>
            <w:tcW w:type="dxa" w:w="2160"/>
          </w:tcPr>
          <w:p>
            <w:r>
              <w:t>1.3×</w:t>
            </w:r>
          </w:p>
        </w:tc>
        <w:tc>
          <w:tcPr>
            <w:tcW w:type="dxa" w:w="2160"/>
          </w:tcPr>
          <w:p>
            <w:r>
              <w:t>Consumer income shock</w:t>
            </w:r>
          </w:p>
        </w:tc>
      </w:tr>
      <w:tr>
        <w:tc>
          <w:tcPr>
            <w:tcW w:type="dxa" w:w="2160"/>
          </w:tcPr>
          <w:p>
            <w:r>
              <w:t>RETAIL_OTHER</w:t>
            </w:r>
          </w:p>
        </w:tc>
        <w:tc>
          <w:tcPr>
            <w:tcW w:type="dxa" w:w="2160"/>
          </w:tcPr>
          <w:p>
            <w:r>
              <w:t>1.4×</w:t>
            </w:r>
          </w:p>
        </w:tc>
        <w:tc>
          <w:tcPr>
            <w:tcW w:type="dxa" w:w="2160"/>
          </w:tcPr>
          <w:p>
            <w:r>
              <w:t>1.25×</w:t>
            </w:r>
          </w:p>
        </w:tc>
        <w:tc>
          <w:tcPr>
            <w:tcW w:type="dxa" w:w="2160"/>
          </w:tcPr>
          <w:p>
            <w:r>
              <w:t>General retail stress</w:t>
            </w:r>
          </w:p>
        </w:tc>
      </w:tr>
    </w:tbl>
    <w:p>
      <w:r>
        <w:rPr>
          <w:b/>
        </w:rPr>
        <w:t>HVCRE has the highest stress factor</w:t>
      </w:r>
      <w:r>
        <w:t xml:space="preserve"> — reflecting the historical evidence that commercial real estate values can fall 40–60% in severe downturns, dramatically increasing LGD, while default rates spike more than standard corporates.</w:t>
      </w:r>
    </w:p>
    <w:p>
      <w:pPr>
        <w:pStyle w:val="Heading2"/>
        <w:jc w:val="left"/>
      </w:pPr>
      <w:r>
        <w:t>12. ESG / Climate Transition Risk — CRR3 Art. 87a</w:t>
      </w:r>
    </w:p>
    <w:p>
      <w:r>
        <w:t>A climate transition risk PD uplift is applied based on the exposure's `climate_brown_factor` (0 = green/neutral, 1 = fully brown/fossil fuel):</w:t>
      </w:r>
    </w:p>
    <w:p>
      <w:pPr>
        <w:shd w:fill="F5F5F5"/>
      </w:pPr>
      <w:r>
        <w:rPr>
          <w:rFonts w:ascii="Courier New" w:hAnsi="Courier New"/>
          <w:color w:val="404040"/>
          <w:sz w:val="16"/>
        </w:rPr>
        <w:t>PD_final = PD_base + brown_factor × uplift_rate[asset_class]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Asset Class</w:t>
            </w:r>
          </w:p>
        </w:tc>
        <w:tc>
          <w:tcPr>
            <w:tcW w:type="dxa" w:w="4320"/>
          </w:tcPr>
          <w:p>
            <w:r>
              <w:rPr>
                <w:b/>
                <w:sz w:val="20"/>
              </w:rPr>
              <w:t>Max PD Uplift (fully brown)</w:t>
            </w:r>
          </w:p>
        </w:tc>
      </w:tr>
      <w:tr>
        <w:tc>
          <w:tcPr>
            <w:tcW w:type="dxa" w:w="4320"/>
          </w:tcPr>
          <w:p>
            <w:r>
              <w:t>CORP</w:t>
            </w:r>
          </w:p>
        </w:tc>
        <w:tc>
          <w:tcPr>
            <w:tcW w:type="dxa" w:w="4320"/>
          </w:tcPr>
          <w:p>
            <w:r>
              <w:t>+50bp</w:t>
            </w:r>
          </w:p>
        </w:tc>
      </w:tr>
      <w:tr>
        <w:tc>
          <w:tcPr>
            <w:tcW w:type="dxa" w:w="4320"/>
          </w:tcPr>
          <w:p>
            <w:r>
              <w:t>BANK</w:t>
            </w:r>
          </w:p>
        </w:tc>
        <w:tc>
          <w:tcPr>
            <w:tcW w:type="dxa" w:w="4320"/>
          </w:tcPr>
          <w:p>
            <w:r>
              <w:t>+20bp</w:t>
            </w:r>
          </w:p>
        </w:tc>
      </w:tr>
      <w:tr>
        <w:tc>
          <w:tcPr>
            <w:tcW w:type="dxa" w:w="4320"/>
          </w:tcPr>
          <w:p>
            <w:r>
              <w:t>SOVEREIGN</w:t>
            </w:r>
          </w:p>
        </w:tc>
        <w:tc>
          <w:tcPr>
            <w:tcW w:type="dxa" w:w="4320"/>
          </w:tcPr>
          <w:p>
            <w:r>
              <w:t>+10bp</w:t>
            </w:r>
          </w:p>
        </w:tc>
      </w:tr>
      <w:tr>
        <w:tc>
          <w:tcPr>
            <w:tcW w:type="dxa" w:w="4320"/>
          </w:tcPr>
          <w:p>
            <w:r>
              <w:t>HVCRE</w:t>
            </w:r>
          </w:p>
        </w:tc>
        <w:tc>
          <w:tcPr>
            <w:tcW w:type="dxa" w:w="4320"/>
          </w:tcPr>
          <w:p>
            <w:r>
              <w:t>+80bp (highest — physical risk from stranded assets)</w:t>
            </w:r>
          </w:p>
        </w:tc>
      </w:tr>
      <w:tr>
        <w:tc>
          <w:tcPr>
            <w:tcW w:type="dxa" w:w="4320"/>
          </w:tcPr>
          <w:p>
            <w:r>
              <w:t>RETAIL_MORT</w:t>
            </w:r>
          </w:p>
        </w:tc>
        <w:tc>
          <w:tcPr>
            <w:tcW w:type="dxa" w:w="4320"/>
          </w:tcPr>
          <w:p>
            <w:r>
              <w:t>+30bp (flood-zone mortgages)</w:t>
            </w:r>
          </w:p>
        </w:tc>
      </w:tr>
    </w:tbl>
    <w:p>
      <w:r>
        <w:t>This is a regulatory add-on under EU CRR3 Article 87a, reflecting transition risk (carbon taxes, stranded asset risk) and physical risk (climate damage to collateral).</w:t>
      </w:r>
    </w:p>
    <w:p>
      <w:pPr>
        <w:pStyle w:val="Heading2"/>
        <w:jc w:val="left"/>
      </w:pPr>
      <w:r>
        <w:t>12a. Through-the-Cycle PD Calibration — Version 3.8 (CRE36.63 / CRE36.77)</w:t>
      </w:r>
    </w:p>
    <w:p>
      <w:pPr>
        <w:pStyle w:val="Heading3"/>
        <w:jc w:val="left"/>
      </w:pPr>
      <w:r>
        <w:t>Regulatory Requirement</w:t>
      </w:r>
    </w:p>
    <w:p>
      <w:r>
        <w:t xml:space="preserve">CRE36.63: </w:t>
      </w:r>
      <w:r>
        <w:rPr>
          <w:i/>
        </w:rPr>
        <w:t>"PD estimates must be a long-run average of one-year default rates for borrowers in the grade."</w:t>
      </w:r>
    </w:p>
    <w:p>
      <w:r>
        <w:t xml:space="preserve">CRE36.77: </w:t>
      </w:r>
      <w:r>
        <w:rPr>
          <w:i/>
        </w:rPr>
        <w:t>"Banks must use information and techniques that take appropriate account of the long-run experience."</w:t>
      </w:r>
    </w:p>
    <w:p>
      <w:r>
        <w:t xml:space="preserve">CRE31.17: PD floor for non-defaulted exposures = </w:t>
      </w:r>
      <w:r>
        <w:rPr>
          <w:b/>
        </w:rPr>
        <w:t>3 basis points (0.03%)</w:t>
      </w:r>
      <w:r>
        <w:t>.</w:t>
      </w:r>
    </w:p>
    <w:p>
      <w:r>
        <w:t>Market-implied (CDS-derived) PDs are Point-in-Time (PiT). They are appropriate for CVA capital (MAR50.32)</w:t>
      </w:r>
    </w:p>
    <w:p>
      <w:r>
        <w:t xml:space="preserve">but </w:t>
      </w:r>
      <w:r>
        <w:rPr>
          <w:b/>
        </w:rPr>
        <w:t>must not be used directly for A-IRB regulatory capital</w:t>
      </w:r>
      <w:r>
        <w:t xml:space="preserve"> without TtC anchoring.</w:t>
      </w:r>
    </w:p>
    <w:p>
      <w:pPr>
        <w:pStyle w:val="Heading3"/>
        <w:jc w:val="left"/>
      </w:pPr>
      <w:r>
        <w:t>Implementation (Version 3.8)</w:t>
      </w:r>
    </w:p>
    <w:p>
      <w:r>
        <w:rPr>
          <w:b/>
        </w:rPr>
        <w:t>`LRA_PD_TTC`</w:t>
      </w:r>
      <w:r>
        <w:t xml:space="preserve"> — S&amp;P 42-year long-run average default rates (`backend/data</w:t>
      </w:r>
      <w:r>
        <w:rPr>
          <w:i/>
        </w:rPr>
        <w:t>sources/credit</w:t>
      </w:r>
      <w:r>
        <w:t>calibration.py`):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Rating</w:t>
            </w:r>
          </w:p>
        </w:tc>
        <w:tc>
          <w:tcPr>
            <w:tcW w:type="dxa" w:w="2880"/>
          </w:tcPr>
          <w:p>
            <w:r>
              <w:rPr>
                <w:b/>
                <w:sz w:val="20"/>
              </w:rPr>
              <w:t>LRA PD (1yr)</w:t>
            </w:r>
          </w:p>
        </w:tc>
        <w:tc>
          <w:tcPr>
            <w:tcW w:type="dxa" w:w="2880"/>
          </w:tcPr>
          <w:p>
            <w:r>
              <w:rPr>
                <w:b/>
                <w:sz w:val="20"/>
              </w:rPr>
              <w:t>Source</w:t>
            </w:r>
          </w:p>
        </w:tc>
      </w:tr>
      <w:tr>
        <w:tc>
          <w:tcPr>
            <w:tcW w:type="dxa" w:w="2880"/>
          </w:tcPr>
          <w:p>
            <w:r>
              <w:t>AAA</w:t>
            </w:r>
          </w:p>
        </w:tc>
        <w:tc>
          <w:tcPr>
            <w:tcW w:type="dxa" w:w="2880"/>
          </w:tcPr>
          <w:p>
            <w:r>
              <w:t>0.000%</w:t>
            </w:r>
          </w:p>
        </w:tc>
        <w:tc>
          <w:tcPr>
            <w:tcW w:type="dxa" w:w="2880"/>
          </w:tcPr>
          <w:p>
            <w:r>
              <w:t>S&amp;P default study 1981–2022</w:t>
            </w:r>
          </w:p>
        </w:tc>
      </w:tr>
      <w:tr>
        <w:tc>
          <w:tcPr>
            <w:tcW w:type="dxa" w:w="2880"/>
          </w:tcPr>
          <w:p>
            <w:r>
              <w:t>AA</w:t>
            </w:r>
          </w:p>
        </w:tc>
        <w:tc>
          <w:tcPr>
            <w:tcW w:type="dxa" w:w="2880"/>
          </w:tcPr>
          <w:p>
            <w:r>
              <w:t>0.022%</w:t>
            </w:r>
          </w:p>
        </w:tc>
        <w:tc>
          <w:tcPr>
            <w:tcW w:type="dxa" w:w="2880"/>
          </w:tcPr>
          <w:p>
            <w:r>
              <w:t>S&amp;P default study</w:t>
            </w:r>
          </w:p>
        </w:tc>
      </w:tr>
      <w:tr>
        <w:tc>
          <w:tcPr>
            <w:tcW w:type="dxa" w:w="2880"/>
          </w:tcPr>
          <w:p>
            <w:r>
              <w:t>A</w:t>
            </w:r>
          </w:p>
        </w:tc>
        <w:tc>
          <w:tcPr>
            <w:tcW w:type="dxa" w:w="2880"/>
          </w:tcPr>
          <w:p>
            <w:r>
              <w:t>0.071%</w:t>
            </w:r>
          </w:p>
        </w:tc>
        <w:tc>
          <w:tcPr>
            <w:tcW w:type="dxa" w:w="2880"/>
          </w:tcPr>
          <w:p>
            <w:r>
              <w:t>S&amp;P default study</w:t>
            </w:r>
          </w:p>
        </w:tc>
      </w:tr>
      <w:tr>
        <w:tc>
          <w:tcPr>
            <w:tcW w:type="dxa" w:w="2880"/>
          </w:tcPr>
          <w:p>
            <w:r>
              <w:t>**BBB**</w:t>
            </w:r>
          </w:p>
        </w:tc>
        <w:tc>
          <w:tcPr>
            <w:tcW w:type="dxa" w:w="2880"/>
          </w:tcPr>
          <w:p>
            <w:r>
              <w:t>**0.209%**</w:t>
            </w:r>
          </w:p>
        </w:tc>
        <w:tc>
          <w:tcPr>
            <w:tcW w:type="dxa" w:w="2880"/>
          </w:tcPr>
          <w:p>
            <w:r>
              <w:t>S&amp;P default study (key corporate grade)</w:t>
            </w:r>
          </w:p>
        </w:tc>
      </w:tr>
      <w:tr>
        <w:tc>
          <w:tcPr>
            <w:tcW w:type="dxa" w:w="2880"/>
          </w:tcPr>
          <w:p>
            <w:r>
              <w:t>BB</w:t>
            </w:r>
          </w:p>
        </w:tc>
        <w:tc>
          <w:tcPr>
            <w:tcW w:type="dxa" w:w="2880"/>
          </w:tcPr>
          <w:p>
            <w:r>
              <w:t>0.969%</w:t>
            </w:r>
          </w:p>
        </w:tc>
        <w:tc>
          <w:tcPr>
            <w:tcW w:type="dxa" w:w="2880"/>
          </w:tcPr>
          <w:p>
            <w:r>
              <w:t>S&amp;P default study</w:t>
            </w:r>
          </w:p>
        </w:tc>
      </w:tr>
      <w:tr>
        <w:tc>
          <w:tcPr>
            <w:tcW w:type="dxa" w:w="2880"/>
          </w:tcPr>
          <w:p>
            <w:r>
              <w:t>B</w:t>
            </w:r>
          </w:p>
        </w:tc>
        <w:tc>
          <w:tcPr>
            <w:tcW w:type="dxa" w:w="2880"/>
          </w:tcPr>
          <w:p>
            <w:r>
              <w:t>4.462%</w:t>
            </w:r>
          </w:p>
        </w:tc>
        <w:tc>
          <w:tcPr>
            <w:tcW w:type="dxa" w:w="2880"/>
          </w:tcPr>
          <w:p>
            <w:r>
              <w:t>S&amp;P default study</w:t>
            </w:r>
          </w:p>
        </w:tc>
      </w:tr>
      <w:tr>
        <w:tc>
          <w:tcPr>
            <w:tcW w:type="dxa" w:w="2880"/>
          </w:tcPr>
          <w:p>
            <w:r>
              <w:t>CCC</w:t>
            </w:r>
          </w:p>
        </w:tc>
        <w:tc>
          <w:tcPr>
            <w:tcW w:type="dxa" w:w="2880"/>
          </w:tcPr>
          <w:p>
            <w:r>
              <w:t>26.949%</w:t>
            </w:r>
          </w:p>
        </w:tc>
        <w:tc>
          <w:tcPr>
            <w:tcW w:type="dxa" w:w="2880"/>
          </w:tcPr>
          <w:p>
            <w:r>
              <w:t>S&amp;P default study</w:t>
            </w:r>
          </w:p>
        </w:tc>
      </w:tr>
    </w:tbl>
    <w:p>
      <w:r>
        <w:rPr>
          <w:b/>
        </w:rPr>
        <w:t>`pd_from_rating_ttc(rating, horizon_years, pit_pd)`</w:t>
      </w:r>
      <w:r>
        <w:t>:</w:t>
      </w:r>
    </w:p>
    <w:p>
      <w:pPr>
        <w:pStyle w:val="ListNumber"/>
      </w:pPr>
      <w:r>
        <w:t>Anchors to `LRA_PD_TTC[rating]` — the TtC long-run baseline</w:t>
      </w:r>
    </w:p>
    <w:p>
      <w:pPr>
        <w:pStyle w:val="ListNumber"/>
      </w:pPr>
      <w:r>
        <w:t>Optional PiT blend: `TtC_PD = 0.80 × LRA_PD + 0.20 × PiT_PD` (80/20 lean-TtC per CRE36.77)</w:t>
      </w:r>
    </w:p>
    <w:p>
      <w:pPr>
        <w:pStyle w:val="ListNumber"/>
      </w:pPr>
      <w:r>
        <w:t>Horizon scaling: `P(T) = 1 − (1 − P_1yr)^T` (survival probability, not matrix power)</w:t>
      </w:r>
    </w:p>
    <w:p>
      <w:pPr>
        <w:pStyle w:val="ListNumber"/>
      </w:pPr>
      <w:r>
        <w:t>Clamped: `[3bp, 99.9%]` per CRE31.17</w:t>
      </w:r>
    </w:p>
    <w:p>
      <w:r>
        <w:rPr>
          <w:b/>
        </w:rPr>
        <w:t>`blended_pd()` in `a_irb.py`</w:t>
      </w:r>
      <w:r>
        <w:t xml:space="preserve"> updated with the 80/20 TtC overlay:</w:t>
      </w:r>
    </w:p>
    <w:p>
      <w:pPr>
        <w:shd w:fill="F5F5F5"/>
      </w:pPr>
      <w:r>
        <w:rPr>
          <w:rFonts w:ascii="Courier New" w:hAnsi="Courier New"/>
          <w:color w:val="404040"/>
          <w:sz w:val="16"/>
        </w:rPr>
        <w:t># Fix 7: regulatory_pd = 80% TtC LRA + 20% internal PiT blend</w:t>
      </w:r>
    </w:p>
    <w:p>
      <w:pPr>
        <w:shd w:fill="F5F5F5"/>
      </w:pPr>
      <w:r>
        <w:rPr>
          <w:rFonts w:ascii="Courier New" w:hAnsi="Courier New"/>
          <w:color w:val="404040"/>
          <w:sz w:val="16"/>
        </w:rPr>
        <w:t>lra   = LRA_PD_TTC.get(rating, LRA_PD_TTC["NR"])</w:t>
      </w:r>
    </w:p>
    <w:p>
      <w:pPr>
        <w:shd w:fill="F5F5F5"/>
      </w:pPr>
      <w:r>
        <w:rPr>
          <w:rFonts w:ascii="Courier New" w:hAnsi="Courier New"/>
          <w:color w:val="404040"/>
          <w:sz w:val="16"/>
        </w:rPr>
        <w:t>regulatory_pd = 0.80 * lra + 0.20 * pit_blended</w:t>
      </w:r>
    </w:p>
    <w:p>
      <w:pPr>
        <w:pStyle w:val="Heading3"/>
        <w:jc w:val="left"/>
      </w:pPr>
      <w:r>
        <w:t>Stability Under Stress (Design Intent)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PiT PD (BBB)</w:t>
            </w:r>
          </w:p>
        </w:tc>
        <w:tc>
          <w:tcPr>
            <w:tcW w:type="dxa" w:w="2160"/>
          </w:tcPr>
          <w:p>
            <w:r>
              <w:rPr>
                <w:b/>
                <w:sz w:val="20"/>
              </w:rPr>
              <w:t>TtC PD (BBB)</w:t>
            </w:r>
          </w:p>
        </w:tc>
        <w:tc>
          <w:tcPr>
            <w:tcW w:type="dxa" w:w="2160"/>
          </w:tcPr>
          <w:p>
            <w:r>
              <w:rPr>
                <w:b/>
                <w:sz w:val="20"/>
              </w:rPr>
              <w:t>Regulatory PD</w:t>
            </w:r>
          </w:p>
        </w:tc>
      </w:tr>
      <w:tr>
        <w:tc>
          <w:tcPr>
            <w:tcW w:type="dxa" w:w="2160"/>
          </w:tcPr>
          <w:p>
            <w:r>
              <w:t>Benign market</w:t>
            </w:r>
          </w:p>
        </w:tc>
        <w:tc>
          <w:tcPr>
            <w:tcW w:type="dxa" w:w="2160"/>
          </w:tcPr>
          <w:p>
            <w:r>
              <w:t>0.08%</w:t>
            </w:r>
          </w:p>
        </w:tc>
        <w:tc>
          <w:tcPr>
            <w:tcW w:type="dxa" w:w="2160"/>
          </w:tcPr>
          <w:p>
            <w:r>
              <w:t>0.21%</w:t>
            </w:r>
          </w:p>
        </w:tc>
        <w:tc>
          <w:tcPr>
            <w:tcW w:type="dxa" w:w="2160"/>
          </w:tcPr>
          <w:p>
            <w:r>
              <w:t>0.22%</w:t>
            </w:r>
          </w:p>
        </w:tc>
      </w:tr>
      <w:tr>
        <w:tc>
          <w:tcPr>
            <w:tcW w:type="dxa" w:w="2160"/>
          </w:tcPr>
          <w:p>
            <w:r>
              <w:t>Normal</w:t>
            </w:r>
          </w:p>
        </w:tc>
        <w:tc>
          <w:tcPr>
            <w:tcW w:type="dxa" w:w="2160"/>
          </w:tcPr>
          <w:p>
            <w:r>
              <w:t>0.15%</w:t>
            </w:r>
          </w:p>
        </w:tc>
        <w:tc>
          <w:tcPr>
            <w:tcW w:type="dxa" w:w="2160"/>
          </w:tcPr>
          <w:p>
            <w:r>
              <w:t>0.21%</w:t>
            </w:r>
          </w:p>
        </w:tc>
        <w:tc>
          <w:tcPr>
            <w:tcW w:type="dxa" w:w="2160"/>
          </w:tcPr>
          <w:p>
            <w:r>
              <w:t>0.21%</w:t>
            </w:r>
          </w:p>
        </w:tc>
      </w:tr>
      <w:tr>
        <w:tc>
          <w:tcPr>
            <w:tcW w:type="dxa" w:w="2160"/>
          </w:tcPr>
          <w:p>
            <w:r>
              <w:t>Stress (2020 COVID)</w:t>
            </w:r>
          </w:p>
        </w:tc>
        <w:tc>
          <w:tcPr>
            <w:tcW w:type="dxa" w:w="2160"/>
          </w:tcPr>
          <w:p>
            <w:r>
              <w:t>0.90%</w:t>
            </w:r>
          </w:p>
        </w:tc>
        <w:tc>
          <w:tcPr>
            <w:tcW w:type="dxa" w:w="2160"/>
          </w:tcPr>
          <w:p>
            <w:r>
              <w:t>0.21%</w:t>
            </w:r>
          </w:p>
        </w:tc>
        <w:tc>
          <w:tcPr>
            <w:tcW w:type="dxa" w:w="2160"/>
          </w:tcPr>
          <w:p>
            <w:r>
              <w:t>0.37%</w:t>
            </w:r>
          </w:p>
        </w:tc>
      </w:tr>
      <w:tr>
        <w:tc>
          <w:tcPr>
            <w:tcW w:type="dxa" w:w="2160"/>
          </w:tcPr>
          <w:p>
            <w:r>
              <w:t>Severe stress (2008 GFC)</w:t>
            </w:r>
          </w:p>
        </w:tc>
        <w:tc>
          <w:tcPr>
            <w:tcW w:type="dxa" w:w="2160"/>
          </w:tcPr>
          <w:p>
            <w:r>
              <w:t>2.50%</w:t>
            </w:r>
          </w:p>
        </w:tc>
        <w:tc>
          <w:tcPr>
            <w:tcW w:type="dxa" w:w="2160"/>
          </w:tcPr>
          <w:p>
            <w:r>
              <w:t>0.21%</w:t>
            </w:r>
          </w:p>
        </w:tc>
        <w:tc>
          <w:tcPr>
            <w:tcW w:type="dxa" w:w="2160"/>
          </w:tcPr>
          <w:p>
            <w:r>
              <w:t>0.67%</w:t>
            </w:r>
          </w:p>
        </w:tc>
      </w:tr>
    </w:tbl>
    <w:p>
      <w:r>
        <w:t>The TtC approach is counter-cyclical by design — RWA does not collapse in benign conditions</w:t>
      </w:r>
    </w:p>
    <w:p>
      <w:r>
        <w:t>nor spike procyclically in stress, as required by CRE36.63.</w:t>
      </w:r>
    </w:p>
    <w:p>
      <w:pPr>
        <w:pStyle w:val="Heading2"/>
        <w:jc w:val="left"/>
      </w:pPr>
      <w:r>
        <w:t>13. SA Output Floor — CRE20.4 / Basel IV</w:t>
      </w:r>
    </w:p>
    <w:p>
      <w:r>
        <w:t>Under Basel IV (fully phased in from January 2025), IRB RWA cannot be less than 72.5% of the Standardised Approach RWA for the same exposure:</w:t>
      </w:r>
    </w:p>
    <w:p>
      <w:pPr>
        <w:shd w:fill="F5F5F5"/>
      </w:pPr>
      <w:r>
        <w:rPr>
          <w:rFonts w:ascii="Courier New" w:hAnsi="Courier New"/>
          <w:color w:val="404040"/>
          <w:sz w:val="16"/>
        </w:rPr>
        <w:t>Floor RWA  = 72.5% × SA RWA</w:t>
      </w:r>
    </w:p>
    <w:p>
      <w:pPr>
        <w:shd w:fill="F5F5F5"/>
      </w:pPr>
      <w:r>
        <w:rPr>
          <w:rFonts w:ascii="Courier New" w:hAnsi="Courier New"/>
          <w:color w:val="404040"/>
          <w:sz w:val="16"/>
        </w:rPr>
        <w:t>Floor Binding  = (IRB RWA &lt; Floor RWA)</w:t>
      </w:r>
    </w:p>
    <w:p>
      <w:pPr>
        <w:shd w:fill="F5F5F5"/>
      </w:pPr>
      <w:r>
        <w:rPr>
          <w:rFonts w:ascii="Courier New" w:hAnsi="Courier New"/>
          <w:color w:val="404040"/>
          <w:sz w:val="16"/>
        </w:rPr>
        <w:t>SA Floor Uplift = max(Floor RWA − IRB RWA, 0)</w:t>
      </w:r>
    </w:p>
    <w:p>
      <w:r>
        <w:t>This is the most significant structural change from Basel III to Basel IV for G-SIBs. Banks with historically low IRB RWA ratios (e.g., large mortgage books with internally estimated LGDs of 5–10%) face the largest capital increases from this floor.</w:t>
      </w:r>
    </w:p>
    <w:p>
      <w:pPr>
        <w:pStyle w:val="Heading2"/>
        <w:jc w:val="left"/>
      </w:pPr>
      <w:r>
        <w:t>14. Sensitivity Analysis — RWA Greeks</w:t>
      </w:r>
    </w:p>
    <w:p>
      <w:r>
        <w:t>The engine computes sensitivities of RWA to parameter changes using finite differences: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Sensitivity</w:t>
            </w:r>
          </w:p>
        </w:tc>
        <w:tc>
          <w:tcPr>
            <w:tcW w:type="dxa" w:w="2880"/>
          </w:tcPr>
          <w:p>
            <w:r>
              <w:rPr>
                <w:b/>
                <w:sz w:val="20"/>
              </w:rPr>
              <w:t>Measure</w:t>
            </w:r>
          </w:p>
        </w:tc>
        <w:tc>
          <w:tcPr>
            <w:tcW w:type="dxa" w:w="2880"/>
          </w:tcPr>
          <w:p>
            <w:r>
              <w:rPr>
                <w:b/>
                <w:sz w:val="20"/>
              </w:rPr>
              <w:t>Description</w:t>
            </w:r>
          </w:p>
        </w:tc>
      </w:tr>
      <w:tr>
        <w:tc>
          <w:tcPr>
            <w:tcW w:type="dxa" w:w="2880"/>
          </w:tcPr>
          <w:p>
            <w:r>
              <w:t>`rwa_sensitivity_pd`</w:t>
            </w:r>
          </w:p>
        </w:tc>
        <w:tc>
          <w:tcPr>
            <w:tcW w:type="dxa" w:w="2880"/>
          </w:tcPr>
          <w:p>
            <w:r>
              <w:t>ΔRWA per +10bp PD</w:t>
            </w:r>
          </w:p>
        </w:tc>
        <w:tc>
          <w:tcPr>
            <w:tcW w:type="dxa" w:w="2880"/>
          </w:tcPr>
          <w:p>
            <w:r>
              <w:t>How much capital changes with a 1-notch deterioration</w:t>
            </w:r>
          </w:p>
        </w:tc>
      </w:tr>
      <w:tr>
        <w:tc>
          <w:tcPr>
            <w:tcW w:type="dxa" w:w="2880"/>
          </w:tcPr>
          <w:p>
            <w:r>
              <w:t>`rwa_sensitivity_lgd`</w:t>
            </w:r>
          </w:p>
        </w:tc>
        <w:tc>
          <w:tcPr>
            <w:tcW w:type="dxa" w:w="2880"/>
          </w:tcPr>
          <w:p>
            <w:r>
              <w:t>ΔRWA per +5% LGD</w:t>
            </w:r>
          </w:p>
        </w:tc>
        <w:tc>
          <w:tcPr>
            <w:tcW w:type="dxa" w:w="2880"/>
          </w:tcPr>
          <w:p>
            <w:r>
              <w:t>Impact of LGD model conservatism or collateral haircut increase</w:t>
            </w:r>
          </w:p>
        </w:tc>
      </w:tr>
      <w:tr>
        <w:tc>
          <w:tcPr>
            <w:tcW w:type="dxa" w:w="2880"/>
          </w:tcPr>
          <w:p>
            <w:r>
              <w:t>`rwa_sensitivity_ead`</w:t>
            </w:r>
          </w:p>
        </w:tc>
        <w:tc>
          <w:tcPr>
            <w:tcW w:type="dxa" w:w="2880"/>
          </w:tcPr>
          <w:p>
            <w:r>
              <w:t>ΔRWA per +10% EAD</w:t>
            </w:r>
          </w:p>
        </w:tc>
        <w:tc>
          <w:tcPr>
            <w:tcW w:type="dxa" w:w="2880"/>
          </w:tcPr>
          <w:p>
            <w:r>
              <w:t>Impact of CCF changes or undrawn commitment utilisation</w:t>
            </w:r>
          </w:p>
        </w:tc>
      </w:tr>
    </w:tbl>
    <w:p>
      <w:r>
        <w:rPr>
          <w:b/>
        </w:rPr>
        <w:t>RWA Attribution (rwa_drivers):</w:t>
      </w:r>
    </w:p>
    <w:p>
      <w:pPr>
        <w:shd w:fill="F5F5F5"/>
      </w:pPr>
      <w:r>
        <w:rPr>
          <w:rFonts w:ascii="Courier New" w:hAnsi="Courier New"/>
          <w:color w:val="404040"/>
          <w:sz w:val="16"/>
        </w:rPr>
        <w:t>base_rwa              = total RWA from formula</w:t>
      </w:r>
    </w:p>
    <w:p>
      <w:pPr>
        <w:shd w:fill="F5F5F5"/>
      </w:pPr>
      <w:r>
        <w:rPr>
          <w:rFonts w:ascii="Courier New" w:hAnsi="Courier New"/>
          <w:color w:val="404040"/>
          <w:sz w:val="16"/>
        </w:rPr>
        <w:t>pd_contribution       = fraction of RWA attributable to PD level</w:t>
      </w:r>
    </w:p>
    <w:p>
      <w:pPr>
        <w:shd w:fill="F5F5F5"/>
      </w:pPr>
      <w:r>
        <w:rPr>
          <w:rFonts w:ascii="Courier New" w:hAnsi="Courier New"/>
          <w:color w:val="404040"/>
          <w:sz w:val="16"/>
        </w:rPr>
        <w:t>lgd_contribution      = fraction attributable to LGD</w:t>
      </w:r>
    </w:p>
    <w:p>
      <w:pPr>
        <w:shd w:fill="F5F5F5"/>
      </w:pPr>
      <w:r>
        <w:rPr>
          <w:rFonts w:ascii="Courier New" w:hAnsi="Courier New"/>
          <w:color w:val="404040"/>
          <w:sz w:val="16"/>
        </w:rPr>
        <w:t>correlation_internal  = Pillar 2 view (with sector/concentration overlays)</w:t>
      </w:r>
    </w:p>
    <w:p>
      <w:pPr>
        <w:shd w:fill="F5F5F5"/>
      </w:pPr>
      <w:r>
        <w:rPr>
          <w:rFonts w:ascii="Courier New" w:hAnsi="Courier New"/>
          <w:color w:val="404040"/>
          <w:sz w:val="16"/>
        </w:rPr>
        <w:t>correlation_regulatory = Pillar 1 view (pure Basel formula)</w:t>
      </w:r>
    </w:p>
    <w:p>
      <w:pPr>
        <w:shd w:fill="F5F5F5"/>
      </w:pPr>
      <w:r>
        <w:rPr>
          <w:rFonts w:ascii="Courier New" w:hAnsi="Courier New"/>
          <w:color w:val="404040"/>
          <w:sz w:val="16"/>
        </w:rPr>
        <w:t>maturity_adjustment   = extra capital due to long maturity</w:t>
      </w:r>
    </w:p>
    <w:p>
      <w:pPr>
        <w:shd w:fill="F5F5F5"/>
      </w:pPr>
      <w:r>
        <w:rPr>
          <w:rFonts w:ascii="Courier New" w:hAnsi="Courier New"/>
          <w:color w:val="404040"/>
          <w:sz w:val="16"/>
        </w:rPr>
        <w:t>mitigant_benefit      = RWA reduction from CRM (collateral, guarantee, CDS)</w:t>
      </w:r>
    </w:p>
    <w:p>
      <w:pPr>
        <w:pStyle w:val="Heading2"/>
        <w:jc w:val="left"/>
      </w:pPr>
      <w:r>
        <w:t>15. Live Macro Data Feed — USMacroDataFeed</w:t>
      </w:r>
    </w:p>
    <w:p>
      <w:r>
        <w:t xml:space="preserve">The `USMacroDataFeed` class provides real-time US macroeconomic data for Pillar 2 / ICAAP overlay calculations. It uses a </w:t>
      </w:r>
      <w:r>
        <w:rPr>
          <w:b/>
        </w:rPr>
        <w:t>three-tier fallback</w:t>
      </w:r>
      <w:r>
        <w:t xml:space="preserve"> architecture: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Tier</w:t>
            </w:r>
          </w:p>
        </w:tc>
        <w:tc>
          <w:tcPr>
            <w:tcW w:type="dxa" w:w="2160"/>
          </w:tcPr>
          <w:p>
            <w:r>
              <w:rPr>
                <w:b/>
                <w:sz w:val="20"/>
              </w:rPr>
              <w:t>Source</w:t>
            </w:r>
          </w:p>
        </w:tc>
        <w:tc>
          <w:tcPr>
            <w:tcW w:type="dxa" w:w="2160"/>
          </w:tcPr>
          <w:p>
            <w:r>
              <w:rPr>
                <w:b/>
                <w:sz w:val="20"/>
              </w:rPr>
              <w:t>Series</w:t>
            </w:r>
          </w:p>
        </w:tc>
        <w:tc>
          <w:tcPr>
            <w:tcW w:type="dxa" w:w="2160"/>
          </w:tcPr>
          <w:p>
            <w:r>
              <w:rPr>
                <w:b/>
                <w:sz w:val="20"/>
              </w:rPr>
              <w:t>Frequency</w:t>
            </w:r>
          </w:p>
        </w:tc>
      </w:tr>
      <w:tr>
        <w:tc>
          <w:tcPr>
            <w:tcW w:type="dxa" w:w="2160"/>
          </w:tcPr>
          <w:p>
            <w:r>
              <w:t>1</w:t>
            </w:r>
          </w:p>
        </w:tc>
        <w:tc>
          <w:tcPr>
            <w:tcW w:type="dxa" w:w="2160"/>
          </w:tcPr>
          <w:p>
            <w:r>
              <w:t>Bloomberg BSAPI</w:t>
            </w:r>
          </w:p>
        </w:tc>
        <w:tc>
          <w:tcPr>
            <w:tcW w:type="dxa" w:w="2160"/>
          </w:tcPr>
          <w:p>
            <w:r>
              <w:t>VIX, T10Y2Y, HY OAS, Unemployment, GDP</w:t>
            </w:r>
          </w:p>
        </w:tc>
        <w:tc>
          <w:tcPr>
            <w:tcW w:type="dxa" w:w="2160"/>
          </w:tcPr>
          <w:p>
            <w:r>
              <w:t>Intraday real-time</w:t>
            </w:r>
          </w:p>
        </w:tc>
      </w:tr>
      <w:tr>
        <w:tc>
          <w:tcPr>
            <w:tcW w:type="dxa" w:w="2160"/>
          </w:tcPr>
          <w:p>
            <w:r>
              <w:t>2</w:t>
            </w:r>
          </w:p>
        </w:tc>
        <w:tc>
          <w:tcPr>
            <w:tcW w:type="dxa" w:w="2160"/>
          </w:tcPr>
          <w:p>
            <w:r>
              <w:t>FRED (St. Louis Fed)</w:t>
            </w:r>
          </w:p>
        </w:tc>
        <w:tc>
          <w:tcPr>
            <w:tcW w:type="dxa" w:w="2160"/>
          </w:tcPr>
          <w:p>
            <w:r>
              <w:t>VIXCLS, T10Y2Y, BAMLH0A0HYM2, UNRATE, A191RL1Q225SBEA, CORBLACBS</w:t>
            </w:r>
          </w:p>
        </w:tc>
        <w:tc>
          <w:tcPr>
            <w:tcW w:type="dxa" w:w="2160"/>
          </w:tcPr>
          <w:p>
            <w:r>
              <w:t>Daily close</w:t>
            </w:r>
          </w:p>
        </w:tc>
      </w:tr>
      <w:tr>
        <w:tc>
          <w:tcPr>
            <w:tcW w:type="dxa" w:w="2160"/>
          </w:tcPr>
          <w:p>
            <w:r>
              <w:t>3</w:t>
            </w:r>
          </w:p>
        </w:tc>
        <w:tc>
          <w:tcPr>
            <w:tcW w:type="dxa" w:w="2160"/>
          </w:tcPr>
          <w:p>
            <w:r>
              <w:t>yfinance</w:t>
            </w:r>
          </w:p>
        </w:tc>
        <w:tc>
          <w:tcPr>
            <w:tcW w:type="dxa" w:w="2160"/>
          </w:tcPr>
          <w:p>
            <w:r>
              <w:t>^VIX, ^TNX−^IRX</w:t>
            </w:r>
          </w:p>
        </w:tc>
        <w:tc>
          <w:tcPr>
            <w:tcW w:type="dxa" w:w="2160"/>
          </w:tcPr>
          <w:p>
            <w:r>
              <w:t>15-min delayed</w:t>
            </w:r>
          </w:p>
        </w:tc>
      </w:tr>
      <w:tr>
        <w:tc>
          <w:tcPr>
            <w:tcW w:type="dxa" w:w="2160"/>
          </w:tcPr>
          <w:p>
            <w:r>
              <w:t>Floor</w:t>
            </w:r>
          </w:p>
        </w:tc>
        <w:tc>
          <w:tcPr>
            <w:tcW w:type="dxa" w:w="2160"/>
          </w:tcPr>
          <w:p>
            <w:r>
              <w:t>Hard-coded averages</w:t>
            </w:r>
          </w:p>
        </w:tc>
        <w:tc>
          <w:tcPr>
            <w:tcW w:type="dxa" w:w="2160"/>
          </w:tcPr>
          <w:p>
            <w:r>
              <w:t>VIX=20, HY=450bp, Unemployment=4.5%, GDP=2.0%</w:t>
            </w:r>
          </w:p>
        </w:tc>
        <w:tc>
          <w:tcPr>
            <w:tcW w:type="dxa" w:w="2160"/>
          </w:tcPr>
          <w:p>
            <w:r>
              <w:t>Static fallback</w:t>
            </w:r>
          </w:p>
        </w:tc>
      </w:tr>
    </w:tbl>
    <w:p>
      <w:r>
        <w:rPr>
          <w:b/>
        </w:rPr>
        <w:t>Thread safety:</w:t>
      </w:r>
      <w:r>
        <w:t xml:space="preserve"> A single RLock protects the in-memory cache. Concurrent daily batch runs always see a consistent snapshot.</w:t>
      </w:r>
    </w:p>
    <w:p>
      <w:r>
        <w:rPr>
          <w:b/>
        </w:rPr>
        <w:t>Caching:</w:t>
      </w:r>
      <w:r>
        <w:t xml:space="preserve"> TTL = 3,600 seconds (1 hour) by default. An optional JSON disk cache allows overnight batch runs to share their macro snapshot with intraday processes.</w:t>
      </w:r>
    </w:p>
    <w:p>
      <w:pPr>
        <w:pStyle w:val="Heading2"/>
        <w:jc w:val="left"/>
      </w:pPr>
      <w:r>
        <w:t>16. Configuration Parameters</w:t>
      </w:r>
    </w:p>
    <w:p>
      <w:r>
        <w:t>Defined in `backend/config.py` and `AIRBConfiguration`: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Description</w:t>
            </w:r>
          </w:p>
        </w:tc>
      </w:tr>
      <w:tr>
        <w:tc>
          <w:tcPr>
            <w:tcW w:type="dxa" w:w="2880"/>
          </w:tcPr>
          <w:p>
            <w:r>
              <w:t>`pd_floor`</w:t>
            </w:r>
          </w:p>
        </w:tc>
        <w:tc>
          <w:tcPr>
            <w:tcW w:type="dxa" w:w="2880"/>
          </w:tcPr>
          <w:p>
            <w:r>
              <w:t>**0.0003** (0.03%)</w:t>
            </w:r>
          </w:p>
        </w:tc>
        <w:tc>
          <w:tcPr>
            <w:tcW w:type="dxa" w:w="2880"/>
          </w:tcPr>
          <w:p>
            <w:r>
              <w:t>Minimum PD for any non-defaulted exposure (CRE31.5)</w:t>
            </w:r>
          </w:p>
        </w:tc>
      </w:tr>
      <w:tr>
        <w:tc>
          <w:tcPr>
            <w:tcW w:type="dxa" w:w="2880"/>
          </w:tcPr>
          <w:p>
            <w:r>
              <w:t>`lgd_floor_unsecured`</w:t>
            </w:r>
          </w:p>
        </w:tc>
        <w:tc>
          <w:tcPr>
            <w:tcW w:type="dxa" w:w="2880"/>
          </w:tcPr>
          <w:p>
            <w:r>
              <w:t>**0.25** (25%)</w:t>
            </w:r>
          </w:p>
        </w:tc>
        <w:tc>
          <w:tcPr>
            <w:tcW w:type="dxa" w:w="2880"/>
          </w:tcPr>
          <w:p>
            <w:r>
              <w:t>CRE32.16 senior unsecured LGD floor</w:t>
            </w:r>
          </w:p>
        </w:tc>
      </w:tr>
      <w:tr>
        <w:tc>
          <w:tcPr>
            <w:tcW w:type="dxa" w:w="2880"/>
          </w:tcPr>
          <w:p>
            <w:r>
              <w:t>`maturity_floor`</w:t>
            </w:r>
          </w:p>
        </w:tc>
        <w:tc>
          <w:tcPr>
            <w:tcW w:type="dxa" w:w="2880"/>
          </w:tcPr>
          <w:p>
            <w:r>
              <w:t>**1.0 year**</w:t>
            </w:r>
          </w:p>
        </w:tc>
        <w:tc>
          <w:tcPr>
            <w:tcW w:type="dxa" w:w="2880"/>
          </w:tcPr>
          <w:p>
            <w:r>
              <w:t>CRE31.7 minimum effective maturity</w:t>
            </w:r>
          </w:p>
        </w:tc>
      </w:tr>
      <w:tr>
        <w:tc>
          <w:tcPr>
            <w:tcW w:type="dxa" w:w="2880"/>
          </w:tcPr>
          <w:p>
            <w:r>
              <w:t>`maturity_cap`</w:t>
            </w:r>
          </w:p>
        </w:tc>
        <w:tc>
          <w:tcPr>
            <w:tcW w:type="dxa" w:w="2880"/>
          </w:tcPr>
          <w:p>
            <w:r>
              <w:t>**5.0 years**</w:t>
            </w:r>
          </w:p>
        </w:tc>
        <w:tc>
          <w:tcPr>
            <w:tcW w:type="dxa" w:w="2880"/>
          </w:tcPr>
          <w:p>
            <w:r>
              <w:t>CRE31.7 maximum effective maturity</w:t>
            </w:r>
          </w:p>
        </w:tc>
      </w:tr>
      <w:tr>
        <w:tc>
          <w:tcPr>
            <w:tcW w:type="dxa" w:w="2880"/>
          </w:tcPr>
          <w:p>
            <w:r>
              <w:t>`alpha_multiplier`</w:t>
            </w:r>
          </w:p>
        </w:tc>
        <w:tc>
          <w:tcPr>
            <w:tcW w:type="dxa" w:w="2880"/>
          </w:tcPr>
          <w:p>
            <w:r>
              <w:t>**1.4**</w:t>
            </w:r>
          </w:p>
        </w:tc>
        <w:tc>
          <w:tcPr>
            <w:tcW w:type="dxa" w:w="2880"/>
          </w:tcPr>
          <w:p>
            <w:r>
              <w:t>SA-CCR EAD multiplier (used in CCR, not A-IRB directly)</w:t>
            </w:r>
          </w:p>
        </w:tc>
      </w:tr>
      <w:tr>
        <w:tc>
          <w:tcPr>
            <w:tcW w:type="dxa" w:w="2880"/>
          </w:tcPr>
          <w:p>
            <w:r>
              <w:t>`sa_output_floor_ratio`</w:t>
            </w:r>
          </w:p>
        </w:tc>
        <w:tc>
          <w:tcPr>
            <w:tcW w:type="dxa" w:w="2880"/>
          </w:tcPr>
          <w:p>
            <w:r>
              <w:t>**0.725**</w:t>
            </w:r>
          </w:p>
        </w:tc>
        <w:tc>
          <w:tcPr>
            <w:tcW w:type="dxa" w:w="2880"/>
          </w:tcPr>
          <w:p>
            <w:r>
              <w:t>72.5% Basel IV output floor (CRE20.4)</w:t>
            </w:r>
          </w:p>
        </w:tc>
      </w:tr>
      <w:tr>
        <w:tc>
          <w:tcPr>
            <w:tcW w:type="dxa" w:w="2880"/>
          </w:tcPr>
          <w:p>
            <w:r>
              <w:t>`N⁻¹(0.999)`</w:t>
            </w:r>
          </w:p>
        </w:tc>
        <w:tc>
          <w:tcPr>
            <w:tcW w:type="dxa" w:w="2880"/>
          </w:tcPr>
          <w:p>
            <w:r>
              <w:t>**3.0902**</w:t>
            </w:r>
          </w:p>
        </w:tc>
        <w:tc>
          <w:tcPr>
            <w:tcW w:type="dxa" w:w="2880"/>
          </w:tcPr>
          <w:p>
            <w:r>
              <w:t>Confidence level for Basel capital formula</w:t>
            </w:r>
          </w:p>
        </w:tc>
      </w:tr>
    </w:tbl>
    <w:p>
      <w:pPr>
        <w:pStyle w:val="Heading2"/>
        <w:jc w:val="left"/>
      </w:pPr>
      <w:r>
        <w:t>17. Complete Glossary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Term</w:t>
            </w:r>
          </w:p>
        </w:tc>
        <w:tc>
          <w:tcPr>
            <w:tcW w:type="dxa" w:w="2880"/>
          </w:tcPr>
          <w:p>
            <w:r>
              <w:rPr>
                <w:b/>
                <w:sz w:val="20"/>
              </w:rPr>
              <w:t>Formula / Definition</w:t>
            </w:r>
          </w:p>
        </w:tc>
        <w:tc>
          <w:tcPr>
            <w:tcW w:type="dxa" w:w="2880"/>
          </w:tcPr>
          <w:p>
            <w:r>
              <w:rPr>
                <w:b/>
                <w:sz w:val="20"/>
              </w:rPr>
              <w:t>Regulatory Ref</w:t>
            </w:r>
          </w:p>
        </w:tc>
      </w:tr>
      <w:tr>
        <w:tc>
          <w:tcPr>
            <w:tcW w:type="dxa" w:w="2880"/>
          </w:tcPr>
          <w:p>
            <w:r>
              <w:t>**A-IRB**</w:t>
            </w:r>
          </w:p>
        </w:tc>
        <w:tc>
          <w:tcPr>
            <w:tcW w:type="dxa" w:w="2880"/>
          </w:tcPr>
          <w:p>
            <w:r>
              <w:t>Advanced Internal Ratings-Based Approach</w:t>
            </w:r>
          </w:p>
        </w:tc>
        <w:tc>
          <w:tcPr>
            <w:tcW w:type="dxa" w:w="2880"/>
          </w:tcPr>
          <w:p>
            <w:r>
              <w:t>CRE30</w:t>
            </w:r>
          </w:p>
        </w:tc>
      </w:tr>
      <w:tr>
        <w:tc>
          <w:tcPr>
            <w:tcW w:type="dxa" w:w="2880"/>
          </w:tcPr>
          <w:p>
            <w:r>
              <w:t>**b(PD)**</w:t>
            </w:r>
          </w:p>
        </w:tc>
        <w:tc>
          <w:tcPr>
            <w:tcW w:type="dxa" w:w="2880"/>
          </w:tcPr>
          <w:p>
            <w:r>
              <w:t>Maturity sensitivity: `(0.11852 − 0.05478×ln(PD))²`</w:t>
            </w:r>
          </w:p>
        </w:tc>
        <w:tc>
          <w:tcPr>
            <w:tcW w:type="dxa" w:w="2880"/>
          </w:tcPr>
          <w:p>
            <w:r>
              <w:t>CRE31.7</w:t>
            </w:r>
          </w:p>
        </w:tc>
      </w:tr>
      <w:tr>
        <w:tc>
          <w:tcPr>
            <w:tcW w:type="dxa" w:w="2880"/>
          </w:tcPr>
          <w:p>
            <w:r>
              <w:t>**CET1**</w:t>
            </w:r>
          </w:p>
        </w:tc>
        <w:tc>
          <w:tcPr>
            <w:tcW w:type="dxa" w:w="2880"/>
          </w:tcPr>
          <w:p>
            <w:r>
              <w:t>Common Equity Tier 1 — highest quality capital</w:t>
            </w:r>
          </w:p>
        </w:tc>
        <w:tc>
          <w:tcPr>
            <w:tcW w:type="dxa" w:w="2880"/>
          </w:tcPr>
          <w:p>
            <w:r>
              <w:t>CRE20</w:t>
            </w:r>
          </w:p>
        </w:tc>
      </w:tr>
      <w:tr>
        <w:tc>
          <w:tcPr>
            <w:tcW w:type="dxa" w:w="2880"/>
          </w:tcPr>
          <w:p>
            <w:r>
              <w:t>**CRM**</w:t>
            </w:r>
          </w:p>
        </w:tc>
        <w:tc>
          <w:tcPr>
            <w:tcW w:type="dxa" w:w="2880"/>
          </w:tcPr>
          <w:p>
            <w:r>
              <w:t>Credit Risk Mitigation — collateral, guarantees, CDS</w:t>
            </w:r>
          </w:p>
        </w:tc>
        <w:tc>
          <w:tcPr>
            <w:tcW w:type="dxa" w:w="2880"/>
          </w:tcPr>
          <w:p>
            <w:r>
              <w:t>CRE32</w:t>
            </w:r>
          </w:p>
        </w:tc>
      </w:tr>
      <w:tr>
        <w:tc>
          <w:tcPr>
            <w:tcW w:type="dxa" w:w="2880"/>
          </w:tcPr>
          <w:p>
            <w:r>
              <w:t>**Double-Default**</w:t>
            </w:r>
          </w:p>
        </w:tc>
        <w:tc>
          <w:tcPr>
            <w:tcW w:type="dxa" w:w="2880"/>
          </w:tcPr>
          <w:p>
            <w:r>
              <w:t>`PD_dd = PD_o × (0.15 + 160×PD_g)`</w:t>
            </w:r>
          </w:p>
        </w:tc>
        <w:tc>
          <w:tcPr>
            <w:tcW w:type="dxa" w:w="2880"/>
          </w:tcPr>
          <w:p>
            <w:r>
              <w:t>CRE22.10</w:t>
            </w:r>
          </w:p>
        </w:tc>
      </w:tr>
      <w:tr>
        <w:tc>
          <w:tcPr>
            <w:tcW w:type="dxa" w:w="2880"/>
          </w:tcPr>
          <w:p>
            <w:r>
              <w:t>**EAD**</w:t>
            </w:r>
          </w:p>
        </w:tc>
        <w:tc>
          <w:tcPr>
            <w:tcW w:type="dxa" w:w="2880"/>
          </w:tcPr>
          <w:p>
            <w:r>
              <w:t>Exposure at Default — drawn balance / loan amount</w:t>
            </w:r>
          </w:p>
        </w:tc>
        <w:tc>
          <w:tcPr>
            <w:tcW w:type="dxa" w:w="2880"/>
          </w:tcPr>
          <w:p>
            <w:r>
              <w:t>CRE30</w:t>
            </w:r>
          </w:p>
        </w:tc>
      </w:tr>
      <w:tr>
        <w:tc>
          <w:tcPr>
            <w:tcW w:type="dxa" w:w="2880"/>
          </w:tcPr>
          <w:p>
            <w:r>
              <w:t>**EL**</w:t>
            </w:r>
          </w:p>
        </w:tc>
        <w:tc>
          <w:tcPr>
            <w:tcW w:type="dxa" w:w="2880"/>
          </w:tcPr>
          <w:p>
            <w:r>
              <w:t>Expected Loss = `PD × LGD × EAD`</w:t>
            </w:r>
          </w:p>
        </w:tc>
        <w:tc>
          <w:tcPr>
            <w:tcW w:type="dxa" w:w="2880"/>
          </w:tcPr>
          <w:p>
            <w:r>
              <w:t>CRE35</w:t>
            </w:r>
          </w:p>
        </w:tc>
      </w:tr>
      <w:tr>
        <w:tc>
          <w:tcPr>
            <w:tcW w:type="dxa" w:w="2880"/>
          </w:tcPr>
          <w:p>
            <w:r>
              <w:t>**EL Shortfall**</w:t>
            </w:r>
          </w:p>
        </w:tc>
        <w:tc>
          <w:tcPr>
            <w:tcW w:type="dxa" w:w="2880"/>
          </w:tcPr>
          <w:p>
            <w:r>
              <w:t>`max(EL − Provisions, 0)` → deducted from CET1</w:t>
            </w:r>
          </w:p>
        </w:tc>
        <w:tc>
          <w:tcPr>
            <w:tcW w:type="dxa" w:w="2880"/>
          </w:tcPr>
          <w:p>
            <w:r>
              <w:t>CRE35.2</w:t>
            </w:r>
          </w:p>
        </w:tc>
      </w:tr>
      <w:tr>
        <w:tc>
          <w:tcPr>
            <w:tcW w:type="dxa" w:w="2880"/>
          </w:tcPr>
          <w:p>
            <w:r>
              <w:t>**EL Excess**</w:t>
            </w:r>
          </w:p>
        </w:tc>
        <w:tc>
          <w:tcPr>
            <w:tcW w:type="dxa" w:w="2880"/>
          </w:tcPr>
          <w:p>
            <w:r>
              <w:t>`max(Provisions − EL, 0)` → added to Tier 2 (cap: 0.6% RWA)</w:t>
            </w:r>
          </w:p>
        </w:tc>
        <w:tc>
          <w:tcPr>
            <w:tcW w:type="dxa" w:w="2880"/>
          </w:tcPr>
          <w:p>
            <w:r>
              <w:t>CRE35.3</w:t>
            </w:r>
          </w:p>
        </w:tc>
      </w:tr>
      <w:tr>
        <w:tc>
          <w:tcPr>
            <w:tcW w:type="dxa" w:w="2880"/>
          </w:tcPr>
          <w:p>
            <w:r>
              <w:t>**Frye Effect**</w:t>
            </w:r>
          </w:p>
        </w:tc>
        <w:tc>
          <w:tcPr>
            <w:tcW w:type="dxa" w:w="2880"/>
          </w:tcPr>
          <w:p>
            <w:r>
              <w:t>Positive correlation between PD and LGD in downturns</w:t>
            </w:r>
          </w:p>
        </w:tc>
        <w:tc>
          <w:tcPr>
            <w:tcW w:type="dxa" w:w="2880"/>
          </w:tcPr>
          <w:p>
            <w:r>
              <w:t>CRE36</w:t>
            </w:r>
          </w:p>
        </w:tc>
      </w:tr>
      <w:tr>
        <w:tc>
          <w:tcPr>
            <w:tcW w:type="dxa" w:w="2880"/>
          </w:tcPr>
          <w:p>
            <w:r>
              <w:t>**HVCRE**</w:t>
            </w:r>
          </w:p>
        </w:tc>
        <w:tc>
          <w:tcPr>
            <w:tcW w:type="dxa" w:w="2880"/>
          </w:tcPr>
          <w:p>
            <w:r>
              <w:t>High Volatility Commercial Real Estate — R ∈ [0.12, 0.30]</w:t>
            </w:r>
          </w:p>
        </w:tc>
        <w:tc>
          <w:tcPr>
            <w:tcW w:type="dxa" w:w="2880"/>
          </w:tcPr>
          <w:p>
            <w:r>
              <w:t>CRE31.10</w:t>
            </w:r>
          </w:p>
        </w:tc>
      </w:tr>
      <w:tr>
        <w:tc>
          <w:tcPr>
            <w:tcW w:type="dxa" w:w="2880"/>
          </w:tcPr>
          <w:p>
            <w:r>
              <w:t>**K**</w:t>
            </w:r>
          </w:p>
        </w:tc>
        <w:tc>
          <w:tcPr>
            <w:tcW w:type="dxa" w:w="2880"/>
          </w:tcPr>
          <w:p>
            <w:r>
              <w:t>Capital Requirement per unit EAD (decimal fraction)</w:t>
            </w:r>
          </w:p>
        </w:tc>
        <w:tc>
          <w:tcPr>
            <w:tcW w:type="dxa" w:w="2880"/>
          </w:tcPr>
          <w:p>
            <w:r>
              <w:t>CRE31.4</w:t>
            </w:r>
          </w:p>
        </w:tc>
      </w:tr>
      <w:tr>
        <w:tc>
          <w:tcPr>
            <w:tcW w:type="dxa" w:w="2880"/>
          </w:tcPr>
          <w:p>
            <w:r>
              <w:t>**LGD**</w:t>
            </w:r>
          </w:p>
        </w:tc>
        <w:tc>
          <w:tcPr>
            <w:tcW w:type="dxa" w:w="2880"/>
          </w:tcPr>
          <w:p>
            <w:r>
              <w:t>Loss Given Default — fraction of EAD lost if default occurs</w:t>
            </w:r>
          </w:p>
        </w:tc>
        <w:tc>
          <w:tcPr>
            <w:tcW w:type="dxa" w:w="2880"/>
          </w:tcPr>
          <w:p>
            <w:r>
              <w:t>CRE36</w:t>
            </w:r>
          </w:p>
        </w:tc>
      </w:tr>
      <w:tr>
        <w:tc>
          <w:tcPr>
            <w:tcW w:type="dxa" w:w="2880"/>
          </w:tcPr>
          <w:p>
            <w:r>
              <w:t>**LGD***</w:t>
            </w:r>
          </w:p>
        </w:tc>
        <w:tc>
          <w:tcPr>
            <w:tcW w:type="dxa" w:w="2880"/>
          </w:tcPr>
          <w:p>
            <w:r>
              <w:t>LGD adjusted for funded collateral (CRM-adjusted)</w:t>
            </w:r>
          </w:p>
        </w:tc>
        <w:tc>
          <w:tcPr>
            <w:tcW w:type="dxa" w:w="2880"/>
          </w:tcPr>
          <w:p>
            <w:r>
              <w:t>CRE32.10</w:t>
            </w:r>
          </w:p>
        </w:tc>
      </w:tr>
      <w:tr>
        <w:tc>
          <w:tcPr>
            <w:tcW w:type="dxa" w:w="2880"/>
          </w:tcPr>
          <w:p>
            <w:r>
              <w:t>**LGD Floor (unsecured)**</w:t>
            </w:r>
          </w:p>
        </w:tc>
        <w:tc>
          <w:tcPr>
            <w:tcW w:type="dxa" w:w="2880"/>
          </w:tcPr>
          <w:p>
            <w:r>
              <w:t>Minimum LGD = **25%** for senior unsecured</w:t>
            </w:r>
          </w:p>
        </w:tc>
        <w:tc>
          <w:tcPr>
            <w:tcW w:type="dxa" w:w="2880"/>
          </w:tcPr>
          <w:p>
            <w:r>
              <w:t>CRE32.16</w:t>
            </w:r>
          </w:p>
        </w:tc>
      </w:tr>
      <w:tr>
        <w:tc>
          <w:tcPr>
            <w:tcW w:type="dxa" w:w="2880"/>
          </w:tcPr>
          <w:p>
            <w:r>
              <w:t>**MA**</w:t>
            </w:r>
          </w:p>
        </w:tc>
        <w:tc>
          <w:tcPr>
            <w:tcW w:type="dxa" w:w="2880"/>
          </w:tcPr>
          <w:p>
            <w:r>
              <w:t>Maturity Adjustment = `(1+(M−2.5)×b)/(1−1.5×b)`</w:t>
            </w:r>
          </w:p>
        </w:tc>
        <w:tc>
          <w:tcPr>
            <w:tcW w:type="dxa" w:w="2880"/>
          </w:tcPr>
          <w:p>
            <w:r>
              <w:t>CRE31.7</w:t>
            </w:r>
          </w:p>
        </w:tc>
      </w:tr>
      <w:tr>
        <w:tc>
          <w:tcPr>
            <w:tcW w:type="dxa" w:w="2880"/>
          </w:tcPr>
          <w:p>
            <w:r>
              <w:t>**M**</w:t>
            </w:r>
          </w:p>
        </w:tc>
        <w:tc>
          <w:tcPr>
            <w:tcW w:type="dxa" w:w="2880"/>
          </w:tcPr>
          <w:p>
            <w:r>
              <w:t>Effective Maturity ∈ [1, 5] years</w:t>
            </w:r>
          </w:p>
        </w:tc>
        <w:tc>
          <w:tcPr>
            <w:tcW w:type="dxa" w:w="2880"/>
          </w:tcPr>
          <w:p>
            <w:r>
              <w:t>CRE31.7</w:t>
            </w:r>
          </w:p>
        </w:tc>
      </w:tr>
      <w:tr>
        <w:tc>
          <w:tcPr>
            <w:tcW w:type="dxa" w:w="2880"/>
          </w:tcPr>
          <w:p>
            <w:r>
              <w:t>**N(·)**</w:t>
            </w:r>
          </w:p>
        </w:tc>
        <w:tc>
          <w:tcPr>
            <w:tcW w:type="dxa" w:w="2880"/>
          </w:tcPr>
          <w:p>
            <w:r>
              <w:t>Cumulative Normal distribution function</w:t>
            </w:r>
          </w:p>
        </w:tc>
        <w:tc>
          <w:tcPr>
            <w:tcW w:type="dxa" w:w="2880"/>
          </w:tcPr>
          <w:p>
            <w:r>
              <w:t>—</w:t>
            </w:r>
          </w:p>
        </w:tc>
      </w:tr>
      <w:tr>
        <w:tc>
          <w:tcPr>
            <w:tcW w:type="dxa" w:w="2880"/>
          </w:tcPr>
          <w:p>
            <w:r>
              <w:t>**N⁻¹(0.999)**</w:t>
            </w:r>
          </w:p>
        </w:tc>
        <w:tc>
          <w:tcPr>
            <w:tcW w:type="dxa" w:w="2880"/>
          </w:tcPr>
          <w:p>
            <w:r>
              <w:t>Inverse normal at 99.9th percentile = **3.0902**</w:t>
            </w:r>
          </w:p>
        </w:tc>
        <w:tc>
          <w:tcPr>
            <w:tcW w:type="dxa" w:w="2880"/>
          </w:tcPr>
          <w:p>
            <w:r>
              <w:t>CRE31.4</w:t>
            </w:r>
          </w:p>
        </w:tc>
      </w:tr>
      <w:tr>
        <w:tc>
          <w:tcPr>
            <w:tcW w:type="dxa" w:w="2880"/>
          </w:tcPr>
          <w:p>
            <w:r>
              <w:t>**PD**</w:t>
            </w:r>
          </w:p>
        </w:tc>
        <w:tc>
          <w:tcPr>
            <w:tcW w:type="dxa" w:w="2880"/>
          </w:tcPr>
          <w:p>
            <w:r>
              <w:t>Probability of Default (1-year horizon)</w:t>
            </w:r>
          </w:p>
        </w:tc>
        <w:tc>
          <w:tcPr>
            <w:tcW w:type="dxa" w:w="2880"/>
          </w:tcPr>
          <w:p>
            <w:r>
              <w:t>CRE36</w:t>
            </w:r>
          </w:p>
        </w:tc>
      </w:tr>
      <w:tr>
        <w:tc>
          <w:tcPr>
            <w:tcW w:type="dxa" w:w="2880"/>
          </w:tcPr>
          <w:p>
            <w:r>
              <w:t>**LRA-PD**</w:t>
            </w:r>
          </w:p>
        </w:tc>
        <w:tc>
          <w:tcPr>
            <w:tcW w:type="dxa" w:w="2880"/>
          </w:tcPr>
          <w:p>
            <w:r>
              <w:t>Long-Run Average PD — S&amp;P 42-year TtC default rate anchor</w:t>
            </w:r>
          </w:p>
        </w:tc>
        <w:tc>
          <w:tcPr>
            <w:tcW w:type="dxa" w:w="2880"/>
          </w:tcPr>
          <w:p>
            <w:r>
              <w:t>CRE36.63</w:t>
            </w:r>
          </w:p>
        </w:tc>
      </w:tr>
      <w:tr>
        <w:tc>
          <w:tcPr>
            <w:tcW w:type="dxa" w:w="2880"/>
          </w:tcPr>
          <w:p>
            <w:r>
              <w:t>**TtC PD**</w:t>
            </w:r>
          </w:p>
        </w:tc>
        <w:tc>
          <w:tcPr>
            <w:tcW w:type="dxa" w:w="2880"/>
          </w:tcPr>
          <w:p>
            <w:r>
              <w:t>Through-the-Cycle PD = 80% LRA_PD + 20% PiT PD (blended, CRE36.77)</w:t>
            </w:r>
          </w:p>
        </w:tc>
        <w:tc>
          <w:tcPr>
            <w:tcW w:type="dxa" w:w="2880"/>
          </w:tcPr>
          <w:p>
            <w:r>
              <w:t>`pd_from_rating_ttc()`</w:t>
            </w:r>
          </w:p>
        </w:tc>
      </w:tr>
      <w:tr>
        <w:tc>
          <w:tcPr>
            <w:tcW w:type="dxa" w:w="2880"/>
          </w:tcPr>
          <w:p>
            <w:r>
              <w:t>**PiT PD**</w:t>
            </w:r>
          </w:p>
        </w:tc>
        <w:tc>
          <w:tcPr>
            <w:tcW w:type="dxa" w:w="2880"/>
          </w:tcPr>
          <w:p>
            <w:r>
              <w:t>Point-in-Time PD (market-implied / CDS-derived) — for CVA only, not A-IRB</w:t>
            </w:r>
          </w:p>
        </w:tc>
        <w:tc>
          <w:tcPr>
            <w:tcW w:type="dxa" w:w="2880"/>
          </w:tcPr>
          <w:p>
            <w:r>
              <w:t>MAR50.32</w:t>
            </w:r>
          </w:p>
        </w:tc>
      </w:tr>
      <w:tr>
        <w:tc>
          <w:tcPr>
            <w:tcW w:type="dxa" w:w="2880"/>
          </w:tcPr>
          <w:p>
            <w:r>
              <w:t>**PD Floor**</w:t>
            </w:r>
          </w:p>
        </w:tc>
        <w:tc>
          <w:tcPr>
            <w:tcW w:type="dxa" w:w="2880"/>
          </w:tcPr>
          <w:p>
            <w:r>
              <w:t>Minimum PD = **0.03%** for CORP/BANK/SOV</w:t>
            </w:r>
          </w:p>
        </w:tc>
        <w:tc>
          <w:tcPr>
            <w:tcW w:type="dxa" w:w="2880"/>
          </w:tcPr>
          <w:p>
            <w:r>
              <w:t>CRE31.5</w:t>
            </w:r>
          </w:p>
        </w:tc>
      </w:tr>
      <w:tr>
        <w:tc>
          <w:tcPr>
            <w:tcW w:type="dxa" w:w="2880"/>
          </w:tcPr>
          <w:p>
            <w:r>
              <w:t>**R**</w:t>
            </w:r>
          </w:p>
        </w:tc>
        <w:tc>
          <w:tcPr>
            <w:tcW w:type="dxa" w:w="2880"/>
          </w:tcPr>
          <w:p>
            <w:r>
              <w:t>Asset Correlation ∈ [0.12, 0.24] for CORP</w:t>
            </w:r>
          </w:p>
        </w:tc>
        <w:tc>
          <w:tcPr>
            <w:tcW w:type="dxa" w:w="2880"/>
          </w:tcPr>
          <w:p>
            <w:r>
              <w:t>CRE31.5</w:t>
            </w:r>
          </w:p>
        </w:tc>
      </w:tr>
      <w:tr>
        <w:tc>
          <w:tcPr>
            <w:tcW w:type="dxa" w:w="2880"/>
          </w:tcPr>
          <w:p>
            <w:r>
              <w:t>**R_regulatory**</w:t>
            </w:r>
          </w:p>
        </w:tc>
        <w:tc>
          <w:tcPr>
            <w:tcW w:type="dxa" w:w="2880"/>
          </w:tcPr>
          <w:p>
            <w:r>
              <w:t>Basel-formula R (Pillar 1 capital — never adjusted)</w:t>
            </w:r>
          </w:p>
        </w:tc>
        <w:tc>
          <w:tcPr>
            <w:tcW w:type="dxa" w:w="2880"/>
          </w:tcPr>
          <w:p>
            <w:r>
              <w:t>CRE31.5</w:t>
            </w:r>
          </w:p>
        </w:tc>
      </w:tr>
      <w:tr>
        <w:tc>
          <w:tcPr>
            <w:tcW w:type="dxa" w:w="2880"/>
          </w:tcPr>
          <w:p>
            <w:r>
              <w:t>**R_internal**</w:t>
            </w:r>
          </w:p>
        </w:tc>
        <w:tc>
          <w:tcPr>
            <w:tcW w:type="dxa" w:w="2880"/>
          </w:tcPr>
          <w:p>
            <w:r>
              <w:t>Sector/concentration-adjusted R (Pillar 2 only)</w:t>
            </w:r>
          </w:p>
        </w:tc>
        <w:tc>
          <w:tcPr>
            <w:tcW w:type="dxa" w:w="2880"/>
          </w:tcPr>
          <w:p>
            <w:r>
              <w:t>Internal</w:t>
            </w:r>
          </w:p>
        </w:tc>
      </w:tr>
      <w:tr>
        <w:tc>
          <w:tcPr>
            <w:tcW w:type="dxa" w:w="2880"/>
          </w:tcPr>
          <w:p>
            <w:r>
              <w:t>**RWA**</w:t>
            </w:r>
          </w:p>
        </w:tc>
        <w:tc>
          <w:tcPr>
            <w:tcW w:type="dxa" w:w="2880"/>
          </w:tcPr>
          <w:p>
            <w:r>
              <w:t>Risk-Weighted Assets = `K × 12.5 × EAD`</w:t>
            </w:r>
          </w:p>
        </w:tc>
        <w:tc>
          <w:tcPr>
            <w:tcW w:type="dxa" w:w="2880"/>
          </w:tcPr>
          <w:p>
            <w:r>
              <w:t>CRE20</w:t>
            </w:r>
          </w:p>
        </w:tc>
      </w:tr>
      <w:tr>
        <w:tc>
          <w:tcPr>
            <w:tcW w:type="dxa" w:w="2880"/>
          </w:tcPr>
          <w:p>
            <w:r>
              <w:t>**SA Output Floor**</w:t>
            </w:r>
          </w:p>
        </w:tc>
        <w:tc>
          <w:tcPr>
            <w:tcW w:type="dxa" w:w="2880"/>
          </w:tcPr>
          <w:p>
            <w:r>
              <w:t>IRB RWA ≥ 72.5% × SA RWA (Basel IV)</w:t>
            </w:r>
          </w:p>
        </w:tc>
        <w:tc>
          <w:tcPr>
            <w:tcW w:type="dxa" w:w="2880"/>
          </w:tcPr>
          <w:p>
            <w:r>
              <w:t>CRE20.4</w:t>
            </w:r>
          </w:p>
        </w:tc>
      </w:tr>
      <w:tr>
        <w:tc>
          <w:tcPr>
            <w:tcW w:type="dxa" w:w="2880"/>
          </w:tcPr>
          <w:p>
            <w:r>
              <w:t>**SME Adjustment**</w:t>
            </w:r>
          </w:p>
        </w:tc>
        <w:tc>
          <w:tcPr>
            <w:tcW w:type="dxa" w:w="2880"/>
          </w:tcPr>
          <w:p>
            <w:r>
              <w:t>R reduction for sales ∈ (5, 50) mEUR</w:t>
            </w:r>
          </w:p>
        </w:tc>
        <w:tc>
          <w:tcPr>
            <w:tcW w:type="dxa" w:w="2880"/>
          </w:tcPr>
          <w:p>
            <w:r>
              <w:t>CRE31.9</w:t>
            </w:r>
          </w:p>
        </w:tc>
      </w:tr>
      <w:tr>
        <w:tc>
          <w:tcPr>
            <w:tcW w:type="dxa" w:w="2880"/>
          </w:tcPr>
          <w:p>
            <w:r>
              <w:t>**Split-K**</w:t>
            </w:r>
          </w:p>
        </w:tc>
        <w:tc>
          <w:tcPr>
            <w:tcW w:type="dxa" w:w="2880"/>
          </w:tcPr>
          <w:p>
            <w:r>
              <w:t>Guarantee capital: `cov×K_g + (1−cov)×K_o`</w:t>
            </w:r>
          </w:p>
        </w:tc>
        <w:tc>
          <w:tcPr>
            <w:tcW w:type="dxa" w:w="2880"/>
          </w:tcPr>
          <w:p>
            <w:r>
              <w:t>CRE32.24</w:t>
            </w:r>
          </w:p>
        </w:tc>
      </w:tr>
      <w:tr>
        <w:tc>
          <w:tcPr>
            <w:tcW w:type="dxa" w:w="2880"/>
          </w:tcPr>
          <w:p>
            <w:r>
              <w:t>**Stress Index**</w:t>
            </w:r>
          </w:p>
        </w:tc>
        <w:tc>
          <w:tcPr>
            <w:tcW w:type="dxa" w:w="2880"/>
          </w:tcPr>
          <w:p>
            <w:r>
              <w:t>Composite macro indicator [0,1] for regime classification</w:t>
            </w:r>
          </w:p>
        </w:tc>
        <w:tc>
          <w:tcPr>
            <w:tcW w:type="dxa" w:w="2880"/>
          </w:tcPr>
          <w:p>
            <w:r>
              <w:t>Internal</w:t>
            </w:r>
          </w:p>
        </w:tc>
      </w:tr>
      <w:tr>
        <w:tc>
          <w:tcPr>
            <w:tcW w:type="dxa" w:w="2880"/>
          </w:tcPr>
          <w:p>
            <w:r>
              <w:t>**Tier 2**</w:t>
            </w:r>
          </w:p>
        </w:tc>
        <w:tc>
          <w:tcPr>
            <w:tcW w:type="dxa" w:w="2880"/>
          </w:tcPr>
          <w:p>
            <w:r>
              <w:t>Second-tier capital (subordinated debt, provisions)</w:t>
            </w:r>
          </w:p>
        </w:tc>
        <w:tc>
          <w:tcPr>
            <w:tcW w:type="dxa" w:w="2880"/>
          </w:tcPr>
          <w:p>
            <w:r>
              <w:t>CRE20</w:t>
            </w:r>
          </w:p>
        </w:tc>
      </w:tr>
      <w:tr>
        <w:tc>
          <w:tcPr>
            <w:tcW w:type="dxa" w:w="2880"/>
          </w:tcPr>
          <w:p>
            <w:r>
              <w:t>**UL**</w:t>
            </w:r>
          </w:p>
        </w:tc>
        <w:tc>
          <w:tcPr>
            <w:tcW w:type="dxa" w:w="2880"/>
          </w:tcPr>
          <w:p>
            <w:r>
              <w:t>Unexpected Loss = `K × EAD` — what capital covers</w:t>
            </w:r>
          </w:p>
        </w:tc>
        <w:tc>
          <w:tcPr>
            <w:tcW w:type="dxa" w:w="2880"/>
          </w:tcPr>
          <w:p>
            <w:r>
              <w:t>CRE31</w:t>
            </w:r>
          </w:p>
        </w:tc>
      </w:tr>
      <w:tr>
        <w:tc>
          <w:tcPr>
            <w:tcW w:type="dxa" w:w="2880"/>
          </w:tcPr>
          <w:p>
            <w:r>
              <w:t>**Vasicek Model**</w:t>
            </w:r>
          </w:p>
        </w:tc>
        <w:tc>
          <w:tcPr>
            <w:tcW w:type="dxa" w:w="2880"/>
          </w:tcPr>
          <w:p>
            <w:r>
              <w:t>Single-factor model underlying CRE31.4</w:t>
            </w:r>
          </w:p>
        </w:tc>
        <w:tc>
          <w:tcPr>
            <w:tcW w:type="dxa" w:w="2880"/>
          </w:tcPr>
          <w:p>
            <w:r>
              <w:t>Academic</w:t>
            </w:r>
          </w:p>
        </w:tc>
      </w:tr>
      <w:tr>
        <w:tc>
          <w:tcPr>
            <w:tcW w:type="dxa" w:w="2880"/>
          </w:tcPr>
          <w:p>
            <w:r>
              <w:t>**z**</w:t>
            </w:r>
          </w:p>
        </w:tc>
        <w:tc>
          <w:tcPr>
            <w:tcW w:type="dxa" w:w="2880"/>
          </w:tcPr>
          <w:p>
            <w:r>
              <w:t>`(N⁻¹(PD) + √R × N⁻¹(0.999)) / √(1−R)` — conditional default threshold</w:t>
            </w:r>
          </w:p>
        </w:tc>
        <w:tc>
          <w:tcPr>
            <w:tcW w:type="dxa" w:w="2880"/>
          </w:tcPr>
          <w:p>
            <w:r>
              <w:t>CRE31.4</w:t>
            </w:r>
          </w:p>
        </w:tc>
      </w:tr>
    </w:tbl>
    <w:p>
      <w:pPr>
        <w:pStyle w:val="Heading2"/>
        <w:jc w:val="left"/>
      </w:pPr>
      <w:r>
        <w:t>Appendix A: Step-by-Step Numeric Example — Corporate Loan (No CRM)</w:t>
      </w:r>
    </w:p>
    <w:p>
      <w:pPr>
        <w:pStyle w:val="Heading3"/>
        <w:jc w:val="left"/>
      </w:pPr>
      <w:r>
        <w:t>The Exposure</w:t>
      </w:r>
    </w:p>
    <w:p>
      <w:r>
        <w:t xml:space="preserve">&gt; </w:t>
      </w:r>
      <w:r>
        <w:rPr>
          <w:b/>
        </w:rPr>
        <w:t>Obligor:</w:t>
      </w:r>
      <w:r>
        <w:t xml:space="preserve"> Investment-grade UK corporate (BBB-rated)</w:t>
      </w:r>
    </w:p>
    <w:p>
      <w:r>
        <w:t xml:space="preserve">&gt; </w:t>
      </w:r>
      <w:r>
        <w:rPr>
          <w:b/>
        </w:rPr>
        <w:t>Asset Class:</w:t>
      </w:r>
      <w:r>
        <w:t xml:space="preserve"> CORP</w:t>
      </w:r>
    </w:p>
    <w:p>
      <w:r>
        <w:t xml:space="preserve">&gt; </w:t>
      </w:r>
      <w:r>
        <w:rPr>
          <w:b/>
        </w:rPr>
        <w:t>EAD:</w:t>
      </w:r>
      <w:r>
        <w:t xml:space="preserve"> USD 10,000,000 (a USD 10M term loan, fully drawn)</w:t>
      </w:r>
    </w:p>
    <w:p>
      <w:r>
        <w:t xml:space="preserve">&gt; </w:t>
      </w:r>
      <w:r>
        <w:rPr>
          <w:b/>
        </w:rPr>
        <w:t>PD:</w:t>
      </w:r>
      <w:r>
        <w:t xml:space="preserve"> 0.50% (0.0050) — consistent with BBB-/Ba1</w:t>
      </w:r>
    </w:p>
    <w:p>
      <w:r>
        <w:t xml:space="preserve">&gt; </w:t>
      </w:r>
      <w:r>
        <w:rPr>
          <w:b/>
        </w:rPr>
        <w:t>LGD:</w:t>
      </w:r>
      <w:r>
        <w:t xml:space="preserve"> 45% (0.45) — senior unsecured, no collateral</w:t>
      </w:r>
    </w:p>
    <w:p>
      <w:r>
        <w:t xml:space="preserve">&gt; </w:t>
      </w:r>
      <w:r>
        <w:rPr>
          <w:b/>
        </w:rPr>
        <w:t>Maturity:</w:t>
      </w:r>
      <w:r>
        <w:t xml:space="preserve"> 3 years</w:t>
      </w:r>
    </w:p>
    <w:p>
      <w:r>
        <w:t xml:space="preserve">&gt; </w:t>
      </w:r>
      <w:r>
        <w:rPr>
          <w:b/>
        </w:rPr>
        <w:t>Sector:</w:t>
      </w:r>
      <w:r>
        <w:t xml:space="preserve"> INDUSTRIALS</w:t>
      </w:r>
    </w:p>
    <w:p>
      <w:r>
        <w:t xml:space="preserve">&gt; </w:t>
      </w:r>
      <w:r>
        <w:rPr>
          <w:b/>
        </w:rPr>
        <w:t>SME Sales:</w:t>
      </w:r>
      <w:r>
        <w:t xml:space="preserve"> 0 (large corporate — no SME adjustment)</w:t>
      </w:r>
    </w:p>
    <w:p>
      <w:r>
        <w:t xml:space="preserve">&gt; </w:t>
      </w:r>
      <w:r>
        <w:rPr>
          <w:b/>
        </w:rPr>
        <w:t>Market Regime:</w:t>
      </w:r>
      <w:r>
        <w:t xml:space="preserve"> NORMAL</w:t>
      </w:r>
    </w:p>
    <w:p>
      <w:pPr>
        <w:pStyle w:val="Heading3"/>
        <w:jc w:val="left"/>
      </w:pPr>
      <w:r>
        <w:t>Step 1: PD Floor Check</w:t>
      </w:r>
    </w:p>
    <w:p>
      <w:pPr>
        <w:shd w:fill="F5F5F5"/>
      </w:pPr>
      <w:r>
        <w:rPr>
          <w:rFonts w:ascii="Courier New" w:hAnsi="Courier New"/>
          <w:color w:val="404040"/>
          <w:sz w:val="16"/>
        </w:rPr>
        <w:t>PD_floor = 0.0003 (0.03%)</w:t>
      </w:r>
    </w:p>
    <w:p>
      <w:pPr>
        <w:shd w:fill="F5F5F5"/>
      </w:pPr>
      <w:r>
        <w:rPr>
          <w:rFonts w:ascii="Courier New" w:hAnsi="Courier New"/>
          <w:color w:val="404040"/>
          <w:sz w:val="16"/>
        </w:rPr>
        <w:t>PD_eff   = max(0.0050, 0.0003) = 0.0050  (above floor — no change)</w:t>
      </w:r>
    </w:p>
    <w:p>
      <w:pPr>
        <w:shd w:fill="F5F5F5"/>
      </w:pPr>
      <w:r>
        <w:rPr>
          <w:rFonts w:ascii="Courier New" w:hAnsi="Courier New"/>
          <w:color w:val="404040"/>
          <w:sz w:val="16"/>
        </w:rPr>
        <w:t>LGD_eff  = max(0.45, 0.25)    = 0.45    (above unsecured floor — no change)</w:t>
      </w:r>
    </w:p>
    <w:p>
      <w:pPr>
        <w:shd w:fill="F5F5F5"/>
      </w:pPr>
      <w:r>
        <w:rPr>
          <w:rFonts w:ascii="Courier New" w:hAnsi="Courier New"/>
          <w:color w:val="404040"/>
          <w:sz w:val="16"/>
        </w:rPr>
        <w:t>M_eff    = 3.0 years                      (within [1, 5])</w:t>
      </w:r>
    </w:p>
    <w:p>
      <w:pPr>
        <w:pStyle w:val="Heading3"/>
        <w:jc w:val="left"/>
      </w:pPr>
      <w:r>
        <w:t>Step 2: Asset Correlation R (CRE31.5)</w:t>
      </w:r>
    </w:p>
    <w:p>
      <w:pPr>
        <w:shd w:fill="F5F5F5"/>
      </w:pPr>
      <w:r>
        <w:rPr>
          <w:rFonts w:ascii="Courier New" w:hAnsi="Courier New"/>
          <w:color w:val="404040"/>
          <w:sz w:val="16"/>
        </w:rPr>
        <w:t>exp(−50 × PD) = exp(−50 × 0.0050) = exp(−0.25) = 0.7788</w:t>
      </w:r>
    </w:p>
    <w:p>
      <w:pPr>
        <w:shd w:fill="F5F5F5"/>
      </w:pPr>
      <w:r>
        <w:rPr>
          <w:rFonts w:ascii="Courier New" w:hAnsi="Courier New"/>
          <w:color w:val="404040"/>
          <w:sz w:val="16"/>
        </w:rPr>
        <w:t>1 − exp(−50)  ≈ 1.0000   (exp(−50) ≈ 0)</w:t>
      </w:r>
    </w:p>
    <w:p>
      <w:pPr>
        <w:shd w:fill="F5F5F5"/>
      </w:pPr>
      <w:r>
        <w:rPr>
          <w:rFonts w:ascii="Courier New" w:hAnsi="Courier New"/>
          <w:color w:val="404040"/>
          <w:sz w:val="16"/>
        </w:rPr>
        <w:t>R_base = 0.12 × (1 − 0.7788) / 1.0 + 0.24 × (1 − (1 − 0.7788) / 1.0)</w:t>
      </w:r>
    </w:p>
    <w:p>
      <w:pPr>
        <w:shd w:fill="F5F5F5"/>
      </w:pPr>
      <w:r>
        <w:rPr>
          <w:rFonts w:ascii="Courier New" w:hAnsi="Courier New"/>
          <w:color w:val="404040"/>
          <w:sz w:val="16"/>
        </w:rPr>
        <w:t xml:space="preserve">       = 0.12 × 0.2212        + 0.24 × (1 − 0.2212)</w:t>
      </w:r>
    </w:p>
    <w:p>
      <w:pPr>
        <w:shd w:fill="F5F5F5"/>
      </w:pPr>
      <w:r>
        <w:rPr>
          <w:rFonts w:ascii="Courier New" w:hAnsi="Courier New"/>
          <w:color w:val="404040"/>
          <w:sz w:val="16"/>
        </w:rPr>
        <w:t xml:space="preserve">       = 0.12 × 0.2212        + 0.24 × 0.7788</w:t>
      </w:r>
    </w:p>
    <w:p>
      <w:pPr>
        <w:shd w:fill="F5F5F5"/>
      </w:pPr>
      <w:r>
        <w:rPr>
          <w:rFonts w:ascii="Courier New" w:hAnsi="Courier New"/>
          <w:color w:val="404040"/>
          <w:sz w:val="16"/>
        </w:rPr>
        <w:t xml:space="preserve">       = 0.02654               + 0.18691</w:t>
      </w:r>
    </w:p>
    <w:p>
      <w:pPr>
        <w:shd w:fill="F5F5F5"/>
      </w:pPr>
      <w:r>
        <w:rPr>
          <w:rFonts w:ascii="Courier New" w:hAnsi="Courier New"/>
          <w:color w:val="404040"/>
          <w:sz w:val="16"/>
        </w:rPr>
        <w:t xml:space="preserve">       = 0.21345</w:t>
      </w:r>
    </w:p>
    <w:p>
      <w:pPr>
        <w:shd w:fill="F5F5F5"/>
      </w:pPr>
      <w:r>
        <w:rPr>
          <w:rFonts w:ascii="Courier New" w:hAnsi="Courier New"/>
          <w:color w:val="404040"/>
          <w:sz w:val="16"/>
        </w:rPr>
        <w:t>No SME adjustment (large corporate).</w:t>
      </w:r>
    </w:p>
    <w:p>
      <w:pPr>
        <w:shd w:fill="F5F5F5"/>
      </w:pPr>
      <w:r>
        <w:rPr>
          <w:rFonts w:ascii="Courier New" w:hAnsi="Courier New"/>
          <w:color w:val="404040"/>
          <w:sz w:val="16"/>
        </w:rPr>
        <w:t>No FI multiplier (not a financial institution).</w:t>
      </w:r>
    </w:p>
    <w:p>
      <w:pPr>
        <w:shd w:fill="F5F5F5"/>
      </w:pPr>
      <w:r>
        <w:rPr>
          <w:rFonts w:ascii="Courier New" w:hAnsi="Courier New"/>
          <w:color w:val="404040"/>
          <w:sz w:val="16"/>
        </w:rPr>
        <w:t>R_regulatory = 0.2135</w:t>
      </w:r>
    </w:p>
    <w:p>
      <w:r>
        <w:rPr>
          <w:b/>
        </w:rPr>
        <w:t>Key insight:</w:t>
      </w:r>
      <w:r>
        <w:t xml:space="preserve"> At PD = 0.50% (IG), R = 21.4% — relatively high, close to the 24% cap. This IG corporate is strongly correlated with the economic cycle.</w:t>
      </w:r>
    </w:p>
    <w:p>
      <w:pPr>
        <w:pStyle w:val="Heading3"/>
        <w:jc w:val="left"/>
      </w:pPr>
      <w:r>
        <w:t>Step 3: Maturity Adjustment b and MA</w:t>
      </w:r>
    </w:p>
    <w:p>
      <w:pPr>
        <w:shd w:fill="F5F5F5"/>
      </w:pPr>
      <w:r>
        <w:rPr>
          <w:rFonts w:ascii="Courier New" w:hAnsi="Courier New"/>
          <w:color w:val="404040"/>
          <w:sz w:val="16"/>
        </w:rPr>
        <w:t>b = (0.11852 − 0.05478 × ln(0.0050))²</w:t>
      </w:r>
    </w:p>
    <w:p>
      <w:pPr>
        <w:shd w:fill="F5F5F5"/>
      </w:pPr>
      <w:r>
        <w:rPr>
          <w:rFonts w:ascii="Courier New" w:hAnsi="Courier New"/>
          <w:color w:val="404040"/>
          <w:sz w:val="16"/>
        </w:rPr>
        <w:t xml:space="preserve">  = (0.11852 − 0.05478 × (−5.2983))²</w:t>
      </w:r>
    </w:p>
    <w:p>
      <w:pPr>
        <w:shd w:fill="F5F5F5"/>
      </w:pPr>
      <w:r>
        <w:rPr>
          <w:rFonts w:ascii="Courier New" w:hAnsi="Courier New"/>
          <w:color w:val="404040"/>
          <w:sz w:val="16"/>
        </w:rPr>
        <w:t xml:space="preserve">  = (0.11852 + 0.29024)²</w:t>
      </w:r>
    </w:p>
    <w:p>
      <w:pPr>
        <w:shd w:fill="F5F5F5"/>
      </w:pPr>
      <w:r>
        <w:rPr>
          <w:rFonts w:ascii="Courier New" w:hAnsi="Courier New"/>
          <w:color w:val="404040"/>
          <w:sz w:val="16"/>
        </w:rPr>
        <w:t xml:space="preserve">  = (0.40876)²</w:t>
      </w:r>
    </w:p>
    <w:p>
      <w:pPr>
        <w:shd w:fill="F5F5F5"/>
      </w:pPr>
      <w:r>
        <w:rPr>
          <w:rFonts w:ascii="Courier New" w:hAnsi="Courier New"/>
          <w:color w:val="404040"/>
          <w:sz w:val="16"/>
        </w:rPr>
        <w:t xml:space="preserve">  = 0.16708</w:t>
      </w:r>
    </w:p>
    <w:p>
      <w:pPr>
        <w:shd w:fill="F5F5F5"/>
      </w:pPr>
      <w:r>
        <w:rPr>
          <w:rFonts w:ascii="Courier New" w:hAnsi="Courier New"/>
          <w:color w:val="404040"/>
          <w:sz w:val="16"/>
        </w:rPr>
        <w:t>MA = (1 + (3.0 − 2.5) × 0.16708) / (1 − 1.5 × 0.16708)</w:t>
      </w:r>
    </w:p>
    <w:p>
      <w:pPr>
        <w:shd w:fill="F5F5F5"/>
      </w:pPr>
      <w:r>
        <w:rPr>
          <w:rFonts w:ascii="Courier New" w:hAnsi="Courier New"/>
          <w:color w:val="404040"/>
          <w:sz w:val="16"/>
        </w:rPr>
        <w:t xml:space="preserve">   = (1 + 0.5 × 0.16708) / (1 − 0.25062)</w:t>
      </w:r>
    </w:p>
    <w:p>
      <w:pPr>
        <w:shd w:fill="F5F5F5"/>
      </w:pPr>
      <w:r>
        <w:rPr>
          <w:rFonts w:ascii="Courier New" w:hAnsi="Courier New"/>
          <w:color w:val="404040"/>
          <w:sz w:val="16"/>
        </w:rPr>
        <w:t xml:space="preserve">   = (1 + 0.08354) / 0.74938</w:t>
      </w:r>
    </w:p>
    <w:p>
      <w:pPr>
        <w:shd w:fill="F5F5F5"/>
      </w:pPr>
      <w:r>
        <w:rPr>
          <w:rFonts w:ascii="Courier New" w:hAnsi="Courier New"/>
          <w:color w:val="404040"/>
          <w:sz w:val="16"/>
        </w:rPr>
        <w:t xml:space="preserve">   = 1.08354 / 0.74938</w:t>
      </w:r>
    </w:p>
    <w:p>
      <w:pPr>
        <w:shd w:fill="F5F5F5"/>
      </w:pPr>
      <w:r>
        <w:rPr>
          <w:rFonts w:ascii="Courier New" w:hAnsi="Courier New"/>
          <w:color w:val="404040"/>
          <w:sz w:val="16"/>
        </w:rPr>
        <w:t xml:space="preserve">   = 1.4459</w:t>
      </w:r>
    </w:p>
    <w:p>
      <w:r>
        <w:rPr>
          <w:b/>
        </w:rPr>
        <w:t>Interpretation:</w:t>
      </w:r>
      <w:r>
        <w:t xml:space="preserve"> A 3-year maturity increases the capital charge by 44.6% compared to a 2.5-year reference maturity. This reflects the greater credit migration risk over 3 years.</w:t>
      </w:r>
    </w:p>
    <w:p>
      <w:pPr>
        <w:pStyle w:val="Heading3"/>
        <w:jc w:val="left"/>
      </w:pPr>
      <w:r>
        <w:t>Step 4: Capital Requirement K (CRE31.4)</w:t>
      </w:r>
    </w:p>
    <w:p>
      <w:pPr>
        <w:shd w:fill="F5F5F5"/>
      </w:pPr>
      <w:r>
        <w:rPr>
          <w:rFonts w:ascii="Courier New" w:hAnsi="Courier New"/>
          <w:color w:val="404040"/>
          <w:sz w:val="16"/>
        </w:rPr>
        <w:t>N⁻¹(PD)   = N⁻¹(0.0050) = −2.5758  (5th percentile of normal)</w:t>
      </w:r>
    </w:p>
    <w:p>
      <w:pPr>
        <w:shd w:fill="F5F5F5"/>
      </w:pPr>
      <w:r>
        <w:rPr>
          <w:rFonts w:ascii="Courier New" w:hAnsi="Courier New"/>
          <w:color w:val="404040"/>
          <w:sz w:val="16"/>
        </w:rPr>
        <w:t>N⁻¹(0.999) = 3.0902</w:t>
      </w:r>
    </w:p>
    <w:p>
      <w:pPr>
        <w:shd w:fill="F5F5F5"/>
      </w:pPr>
      <w:r>
        <w:rPr>
          <w:rFonts w:ascii="Courier New" w:hAnsi="Courier New"/>
          <w:color w:val="404040"/>
          <w:sz w:val="16"/>
        </w:rPr>
        <w:t>z = (N⁻¹(PD) + √R × N⁻¹(0.999)) / √(1 − R)</w:t>
      </w:r>
    </w:p>
    <w:p>
      <w:pPr>
        <w:shd w:fill="F5F5F5"/>
      </w:pPr>
      <w:r>
        <w:rPr>
          <w:rFonts w:ascii="Courier New" w:hAnsi="Courier New"/>
          <w:color w:val="404040"/>
          <w:sz w:val="16"/>
        </w:rPr>
        <w:t xml:space="preserve">  = (−2.5758 + √0.2135 × 3.0902) / √(1 − 0.2135)</w:t>
      </w:r>
    </w:p>
    <w:p>
      <w:pPr>
        <w:shd w:fill="F5F5F5"/>
      </w:pPr>
      <w:r>
        <w:rPr>
          <w:rFonts w:ascii="Courier New" w:hAnsi="Courier New"/>
          <w:color w:val="404040"/>
          <w:sz w:val="16"/>
        </w:rPr>
        <w:t xml:space="preserve">  = (−2.5758 + 0.4621 × 3.0902) / √0.7865</w:t>
      </w:r>
    </w:p>
    <w:p>
      <w:pPr>
        <w:shd w:fill="F5F5F5"/>
      </w:pPr>
      <w:r>
        <w:rPr>
          <w:rFonts w:ascii="Courier New" w:hAnsi="Courier New"/>
          <w:color w:val="404040"/>
          <w:sz w:val="16"/>
        </w:rPr>
        <w:t xml:space="preserve">  = (−2.5758 + 1.4279) / 0.8869</w:t>
      </w:r>
    </w:p>
    <w:p>
      <w:pPr>
        <w:shd w:fill="F5F5F5"/>
      </w:pPr>
      <w:r>
        <w:rPr>
          <w:rFonts w:ascii="Courier New" w:hAnsi="Courier New"/>
          <w:color w:val="404040"/>
          <w:sz w:val="16"/>
        </w:rPr>
        <w:t xml:space="preserve">  = (−1.1479) / 0.8869</w:t>
      </w:r>
    </w:p>
    <w:p>
      <w:pPr>
        <w:shd w:fill="F5F5F5"/>
      </w:pPr>
      <w:r>
        <w:rPr>
          <w:rFonts w:ascii="Courier New" w:hAnsi="Courier New"/>
          <w:color w:val="404040"/>
          <w:sz w:val="16"/>
        </w:rPr>
        <w:t xml:space="preserve">  = −1.2948</w:t>
      </w:r>
    </w:p>
    <w:p>
      <w:pPr>
        <w:shd w:fill="F5F5F5"/>
      </w:pPr>
      <w:r>
        <w:rPr>
          <w:rFonts w:ascii="Courier New" w:hAnsi="Courier New"/>
          <w:color w:val="404040"/>
          <w:sz w:val="16"/>
        </w:rPr>
        <w:t>N(z) = N(−1.2948) = 0.0977   (about 9.77% conditional default probability)</w:t>
      </w:r>
    </w:p>
    <w:p>
      <w:pPr>
        <w:shd w:fill="F5F5F5"/>
      </w:pPr>
      <w:r>
        <w:rPr>
          <w:rFonts w:ascii="Courier New" w:hAnsi="Courier New"/>
          <w:color w:val="404040"/>
          <w:sz w:val="16"/>
        </w:rPr>
        <w:t>K_base = LGD × N(z) − PD × LGD</w:t>
      </w:r>
    </w:p>
    <w:p>
      <w:pPr>
        <w:shd w:fill="F5F5F5"/>
      </w:pPr>
      <w:r>
        <w:rPr>
          <w:rFonts w:ascii="Courier New" w:hAnsi="Courier New"/>
          <w:color w:val="404040"/>
          <w:sz w:val="16"/>
        </w:rPr>
        <w:t xml:space="preserve">       = 0.45 × 0.0977 − 0.0050 × 0.45</w:t>
      </w:r>
    </w:p>
    <w:p>
      <w:pPr>
        <w:shd w:fill="F5F5F5"/>
      </w:pPr>
      <w:r>
        <w:rPr>
          <w:rFonts w:ascii="Courier New" w:hAnsi="Courier New"/>
          <w:color w:val="404040"/>
          <w:sz w:val="16"/>
        </w:rPr>
        <w:t xml:space="preserve">       = 0.04397 − 0.00225</w:t>
      </w:r>
    </w:p>
    <w:p>
      <w:pPr>
        <w:shd w:fill="F5F5F5"/>
      </w:pPr>
      <w:r>
        <w:rPr>
          <w:rFonts w:ascii="Courier New" w:hAnsi="Courier New"/>
          <w:color w:val="404040"/>
          <w:sz w:val="16"/>
        </w:rPr>
        <w:t xml:space="preserve">       = 0.04172</w:t>
      </w:r>
    </w:p>
    <w:p>
      <w:pPr>
        <w:shd w:fill="F5F5F5"/>
      </w:pPr>
      <w:r>
        <w:rPr>
          <w:rFonts w:ascii="Courier New" w:hAnsi="Courier New"/>
          <w:color w:val="404040"/>
          <w:sz w:val="16"/>
        </w:rPr>
        <w:t>K = K_base × MA</w:t>
      </w:r>
    </w:p>
    <w:p>
      <w:pPr>
        <w:shd w:fill="F5F5F5"/>
      </w:pPr>
      <w:r>
        <w:rPr>
          <w:rFonts w:ascii="Courier New" w:hAnsi="Courier New"/>
          <w:color w:val="404040"/>
          <w:sz w:val="16"/>
        </w:rPr>
        <w:t xml:space="preserve">  = 0.04172 × 1.4459</w:t>
      </w:r>
    </w:p>
    <w:p>
      <w:pPr>
        <w:shd w:fill="F5F5F5"/>
      </w:pPr>
      <w:r>
        <w:rPr>
          <w:rFonts w:ascii="Courier New" w:hAnsi="Courier New"/>
          <w:color w:val="404040"/>
          <w:sz w:val="16"/>
        </w:rPr>
        <w:t xml:space="preserve">  = 0.06031   (6.031% of EAD)</w:t>
      </w:r>
    </w:p>
    <w:p>
      <w:r>
        <w:rPr>
          <w:b/>
        </w:rPr>
        <w:t>Interpretation:</w:t>
      </w:r>
    </w:p>
    <w:p>
      <w:pPr>
        <w:pStyle w:val="ListBullet"/>
      </w:pPr>
      <w:r>
        <w:t>In the 99.9% bad economic scenario, 9.77% of the portfolio defaults (N(z))</w:t>
      </w:r>
    </w:p>
    <w:p>
      <w:pPr>
        <w:pStyle w:val="ListBullet"/>
      </w:pPr>
      <w:r>
        <w:t>Average loss given default = 45%</w:t>
      </w:r>
    </w:p>
    <w:p>
      <w:pPr>
        <w:pStyle w:val="ListBullet"/>
      </w:pPr>
      <w:r>
        <w:t>Conditional loss = 9.77% × 45% = 4.40% of EAD</w:t>
      </w:r>
    </w:p>
    <w:p>
      <w:pPr>
        <w:pStyle w:val="ListBullet"/>
      </w:pPr>
      <w:r>
        <w:t>Minus expected loss (0.50% × 45% = 0.225%) = **unexpected loss = 4.17%**</w:t>
      </w:r>
    </w:p>
    <w:p>
      <w:pPr>
        <w:pStyle w:val="ListBullet"/>
      </w:pPr>
      <w:r>
        <w:t>Multiplied by maturity adjustment (×1.446) = **final K = 6.03%**</w:t>
      </w:r>
    </w:p>
    <w:p>
      <w:pPr>
        <w:pStyle w:val="Heading3"/>
        <w:jc w:val="left"/>
      </w:pPr>
      <w:r>
        <w:t>Step 5: RWA</w:t>
      </w:r>
    </w:p>
    <w:p>
      <w:pPr>
        <w:shd w:fill="F5F5F5"/>
      </w:pPr>
      <w:r>
        <w:rPr>
          <w:rFonts w:ascii="Courier New" w:hAnsi="Courier New"/>
          <w:color w:val="404040"/>
          <w:sz w:val="16"/>
        </w:rPr>
        <w:t>RWA = K × 12.5 × EAD</w:t>
      </w:r>
    </w:p>
    <w:p>
      <w:pPr>
        <w:shd w:fill="F5F5F5"/>
      </w:pPr>
      <w:r>
        <w:rPr>
          <w:rFonts w:ascii="Courier New" w:hAnsi="Courier New"/>
          <w:color w:val="404040"/>
          <w:sz w:val="16"/>
        </w:rPr>
        <w:t xml:space="preserve">    = 0.06031 × 12.5 × $10,000,000</w:t>
      </w:r>
    </w:p>
    <w:p>
      <w:pPr>
        <w:shd w:fill="F5F5F5"/>
      </w:pPr>
      <w:r>
        <w:rPr>
          <w:rFonts w:ascii="Courier New" w:hAnsi="Courier New"/>
          <w:color w:val="404040"/>
          <w:sz w:val="16"/>
        </w:rPr>
        <w:t xml:space="preserve">    = $7,538,750</w:t>
      </w:r>
    </w:p>
    <w:p>
      <w:pPr>
        <w:shd w:fill="F5F5F5"/>
      </w:pPr>
      <w:r>
        <w:rPr>
          <w:rFonts w:ascii="Courier New" w:hAnsi="Courier New"/>
          <w:color w:val="404040"/>
          <w:sz w:val="16"/>
        </w:rPr>
        <w:t>Risk Weight (%) = RWA / EAD = 75.4%</w:t>
      </w:r>
    </w:p>
    <w:p>
      <w:pPr>
        <w:shd w:fill="F5F5F5"/>
      </w:pPr>
      <w:r>
        <w:rPr>
          <w:rFonts w:ascii="Courier New" w:hAnsi="Courier New"/>
          <w:color w:val="404040"/>
          <w:sz w:val="16"/>
        </w:rPr>
        <w:t>Capital Charge  = K × EAD = 0.06031 × $10,000,000 = $603,100</w:t>
      </w:r>
    </w:p>
    <w:p>
      <w:pPr>
        <w:pStyle w:val="Heading3"/>
        <w:jc w:val="left"/>
      </w:pPr>
      <w:r>
        <w:t>Step 6: Expected Loss and Provisions</w:t>
      </w:r>
    </w:p>
    <w:p>
      <w:pPr>
        <w:shd w:fill="F5F5F5"/>
      </w:pPr>
      <w:r>
        <w:rPr>
          <w:rFonts w:ascii="Courier New" w:hAnsi="Courier New"/>
          <w:color w:val="404040"/>
          <w:sz w:val="16"/>
        </w:rPr>
        <w:t>EL     = PD × LGD × EAD</w:t>
      </w:r>
    </w:p>
    <w:p>
      <w:pPr>
        <w:shd w:fill="F5F5F5"/>
      </w:pPr>
      <w:r>
        <w:rPr>
          <w:rFonts w:ascii="Courier New" w:hAnsi="Courier New"/>
          <w:color w:val="404040"/>
          <w:sz w:val="16"/>
        </w:rPr>
        <w:t xml:space="preserve">       = 0.0050 × 0.45 × $10,000,000</w:t>
      </w:r>
    </w:p>
    <w:p>
      <w:pPr>
        <w:shd w:fill="F5F5F5"/>
      </w:pPr>
      <w:r>
        <w:rPr>
          <w:rFonts w:ascii="Courier New" w:hAnsi="Courier New"/>
          <w:color w:val="404040"/>
          <w:sz w:val="16"/>
        </w:rPr>
        <w:t xml:space="preserve">       = $22,500</w:t>
      </w:r>
    </w:p>
    <w:p>
      <w:pPr>
        <w:shd w:fill="F5F5F5"/>
      </w:pPr>
      <w:r>
        <w:rPr>
          <w:rFonts w:ascii="Courier New" w:hAnsi="Courier New"/>
          <w:color w:val="404040"/>
          <w:sz w:val="16"/>
        </w:rPr>
        <w:t>Assume Provisions held = $15,000 (Stage 3 eligible)</w:t>
      </w:r>
    </w:p>
    <w:p>
      <w:pPr>
        <w:shd w:fill="F5F5F5"/>
      </w:pPr>
      <w:r>
        <w:rPr>
          <w:rFonts w:ascii="Courier New" w:hAnsi="Courier New"/>
          <w:color w:val="404040"/>
          <w:sz w:val="16"/>
        </w:rPr>
        <w:t>EL_diff = $22,500 − $15,000 = +$7,500  (shortfall)</w:t>
      </w:r>
    </w:p>
    <w:p>
      <w:pPr>
        <w:shd w:fill="F5F5F5"/>
      </w:pPr>
      <w:r>
        <w:rPr>
          <w:rFonts w:ascii="Courier New" w:hAnsi="Courier New"/>
          <w:color w:val="404040"/>
          <w:sz w:val="16"/>
        </w:rPr>
        <w:t>CET1 Deduction = $7,500</w:t>
      </w:r>
    </w:p>
    <w:p>
      <w:pPr>
        <w:pStyle w:val="Heading3"/>
        <w:jc w:val="left"/>
      </w:pPr>
      <w:r>
        <w:t>Summary</w:t>
      </w:r>
    </w:p>
    <w:p>
      <w:pPr>
        <w:shd w:fill="F5F5F5"/>
      </w:pPr>
      <w:r>
        <w:rPr>
          <w:rFonts w:ascii="Courier New" w:hAnsi="Courier New"/>
          <w:color w:val="404040"/>
          <w:sz w:val="16"/>
        </w:rPr>
        <w:t>Input Parameters:</w:t>
      </w:r>
    </w:p>
    <w:p>
      <w:pPr>
        <w:shd w:fill="F5F5F5"/>
      </w:pPr>
      <w:r>
        <w:rPr>
          <w:rFonts w:ascii="Courier New" w:hAnsi="Courier New"/>
          <w:color w:val="404040"/>
          <w:sz w:val="16"/>
        </w:rPr>
        <w:t xml:space="preserve">  EAD = $10,000,000    PD = 0.50%    LGD = 45%    M = 3yr</w:t>
      </w:r>
    </w:p>
    <w:p>
      <w:pPr>
        <w:shd w:fill="F5F5F5"/>
      </w:pPr>
      <w:r>
        <w:rPr>
          <w:rFonts w:ascii="Courier New" w:hAnsi="Courier New"/>
          <w:color w:val="404040"/>
          <w:sz w:val="16"/>
        </w:rPr>
        <w:t>Intermediate Results:</w:t>
      </w:r>
    </w:p>
    <w:p>
      <w:pPr>
        <w:shd w:fill="F5F5F5"/>
      </w:pPr>
      <w:r>
        <w:rPr>
          <w:rFonts w:ascii="Courier New" w:hAnsi="Courier New"/>
          <w:color w:val="404040"/>
          <w:sz w:val="16"/>
        </w:rPr>
        <w:t xml:space="preserve">  R       = 0.2135     (21.4% asset correlation)</w:t>
      </w:r>
    </w:p>
    <w:p>
      <w:pPr>
        <w:shd w:fill="F5F5F5"/>
      </w:pPr>
      <w:r>
        <w:rPr>
          <w:rFonts w:ascii="Courier New" w:hAnsi="Courier New"/>
          <w:color w:val="404040"/>
          <w:sz w:val="16"/>
        </w:rPr>
        <w:t xml:space="preserve">  b       = 0.16708    (maturity sensitivity)</w:t>
      </w:r>
    </w:p>
    <w:p>
      <w:pPr>
        <w:shd w:fill="F5F5F5"/>
      </w:pPr>
      <w:r>
        <w:rPr>
          <w:rFonts w:ascii="Courier New" w:hAnsi="Courier New"/>
          <w:color w:val="404040"/>
          <w:sz w:val="16"/>
        </w:rPr>
        <w:t xml:space="preserve">  MA      = 1.4459     (44.6% maturity uplift)</w:t>
      </w:r>
    </w:p>
    <w:p>
      <w:pPr>
        <w:shd w:fill="F5F5F5"/>
      </w:pPr>
      <w:r>
        <w:rPr>
          <w:rFonts w:ascii="Courier New" w:hAnsi="Courier New"/>
          <w:color w:val="404040"/>
          <w:sz w:val="16"/>
        </w:rPr>
        <w:t xml:space="preserve">  z       = −1.2948    (conditional threshold)</w:t>
      </w:r>
    </w:p>
    <w:p>
      <w:pPr>
        <w:shd w:fill="F5F5F5"/>
      </w:pPr>
      <w:r>
        <w:rPr>
          <w:rFonts w:ascii="Courier New" w:hAnsi="Courier New"/>
          <w:color w:val="404040"/>
          <w:sz w:val="16"/>
        </w:rPr>
        <w:t xml:space="preserve">  N(z)    = 9.77%      (conditional default probability at 99.9%)</w:t>
      </w:r>
    </w:p>
    <w:p>
      <w:pPr>
        <w:shd w:fill="F5F5F5"/>
      </w:pPr>
      <w:r>
        <w:rPr>
          <w:rFonts w:ascii="Courier New" w:hAnsi="Courier New"/>
          <w:color w:val="404040"/>
          <w:sz w:val="16"/>
        </w:rPr>
        <w:t>Output:</w:t>
      </w:r>
    </w:p>
    <w:p>
      <w:pPr>
        <w:shd w:fill="F5F5F5"/>
      </w:pPr>
      <w:r>
        <w:rPr>
          <w:rFonts w:ascii="Courier New" w:hAnsi="Courier New"/>
          <w:color w:val="404040"/>
          <w:sz w:val="16"/>
        </w:rPr>
        <w:t xml:space="preserve">  K       = 6.03%      (capital per unit EAD)</w:t>
      </w:r>
    </w:p>
    <w:p>
      <w:pPr>
        <w:shd w:fill="F5F5F5"/>
      </w:pPr>
      <w:r>
        <w:rPr>
          <w:rFonts w:ascii="Courier New" w:hAnsi="Courier New"/>
          <w:color w:val="404040"/>
          <w:sz w:val="16"/>
        </w:rPr>
        <w:t xml:space="preserve">  RWA     = $7,538,750 (75.4% risk weight)</w:t>
      </w:r>
    </w:p>
    <w:p>
      <w:pPr>
        <w:shd w:fill="F5F5F5"/>
      </w:pPr>
      <w:r>
        <w:rPr>
          <w:rFonts w:ascii="Courier New" w:hAnsi="Courier New"/>
          <w:color w:val="404040"/>
          <w:sz w:val="16"/>
        </w:rPr>
        <w:t xml:space="preserve">  EL      = $22,500    (expected loss — for provisioning)</w:t>
      </w:r>
    </w:p>
    <w:p>
      <w:pPr>
        <w:shd w:fill="F5F5F5"/>
      </w:pPr>
      <w:r>
        <w:rPr>
          <w:rFonts w:ascii="Courier New" w:hAnsi="Courier New"/>
          <w:color w:val="404040"/>
          <w:sz w:val="16"/>
        </w:rPr>
        <w:t xml:space="preserve">  EL Shortfall = $7,500 → CET1 deduction</w:t>
      </w:r>
    </w:p>
    <w:p>
      <w:pPr>
        <w:pStyle w:val="Heading2"/>
        <w:jc w:val="left"/>
      </w:pPr>
      <w:r>
        <w:t>Appendix B: Numeric Example — Collateralised Real Estate Loan</w:t>
      </w:r>
    </w:p>
    <w:p>
      <w:pPr>
        <w:pStyle w:val="Heading3"/>
        <w:jc w:val="left"/>
      </w:pPr>
      <w:r>
        <w:t>The Exposure</w:t>
      </w:r>
    </w:p>
    <w:p>
      <w:r>
        <w:t xml:space="preserve">&gt; </w:t>
      </w:r>
      <w:r>
        <w:rPr>
          <w:b/>
        </w:rPr>
        <w:t>Product:</w:t>
      </w:r>
      <w:r>
        <w:t xml:space="preserve"> Commercial Real Estate loan</w:t>
      </w:r>
    </w:p>
    <w:p>
      <w:r>
        <w:t xml:space="preserve">&gt; </w:t>
      </w:r>
      <w:r>
        <w:rPr>
          <w:b/>
        </w:rPr>
        <w:t>Asset Class:</w:t>
      </w:r>
      <w:r>
        <w:t xml:space="preserve"> CORP (CRE loan treated as corporate)</w:t>
      </w:r>
    </w:p>
    <w:p>
      <w:r>
        <w:t xml:space="preserve">&gt; </w:t>
      </w:r>
      <w:r>
        <w:rPr>
          <w:b/>
        </w:rPr>
        <w:t>EAD:</w:t>
      </w:r>
      <w:r>
        <w:t xml:space="preserve"> USD 5,000,000</w:t>
      </w:r>
    </w:p>
    <w:p>
      <w:r>
        <w:t xml:space="preserve">&gt; </w:t>
      </w:r>
      <w:r>
        <w:rPr>
          <w:b/>
        </w:rPr>
        <w:t>PD:</w:t>
      </w:r>
      <w:r>
        <w:t xml:space="preserve"> 1.00% (0.010) — BB+ rated developer</w:t>
      </w:r>
    </w:p>
    <w:p>
      <w:r>
        <w:t xml:space="preserve">&gt; </w:t>
      </w:r>
      <w:r>
        <w:rPr>
          <w:b/>
        </w:rPr>
        <w:t>LGD (unsecured):</w:t>
      </w:r>
      <w:r>
        <w:t xml:space="preserve"> 45% (pre-CRM)</w:t>
      </w:r>
    </w:p>
    <w:p>
      <w:r>
        <w:t xml:space="preserve">&gt; </w:t>
      </w:r>
      <w:r>
        <w:rPr>
          <w:b/>
        </w:rPr>
        <w:t>Maturity:</w:t>
      </w:r>
      <w:r>
        <w:t xml:space="preserve"> 5 years</w:t>
      </w:r>
    </w:p>
    <w:p>
      <w:r>
        <w:t xml:space="preserve">&gt; </w:t>
      </w:r>
      <w:r>
        <w:rPr>
          <w:b/>
        </w:rPr>
        <w:t>Collateral:</w:t>
      </w:r>
      <w:r>
        <w:t xml:space="preserve"> Commercial Real Estate, value = USD 4,000,000</w:t>
      </w:r>
    </w:p>
    <w:p>
      <w:r>
        <w:t xml:space="preserve">&gt; </w:t>
      </w:r>
      <w:r>
        <w:rPr>
          <w:b/>
        </w:rPr>
        <w:t>Collateral Haircut (hc):</w:t>
      </w:r>
      <w:r>
        <w:t xml:space="preserve"> 40% (CRE32 COMMERCIAL_RE)</w:t>
      </w:r>
    </w:p>
    <w:p>
      <w:r>
        <w:t xml:space="preserve">&gt; </w:t>
      </w:r>
      <w:r>
        <w:rPr>
          <w:b/>
        </w:rPr>
        <w:t>LGD_secured:</w:t>
      </w:r>
      <w:r>
        <w:t xml:space="preserve"> 20% (CRE32.12 for commercial real estate)</w:t>
      </w:r>
    </w:p>
    <w:p>
      <w:pPr>
        <w:pStyle w:val="Heading3"/>
        <w:jc w:val="left"/>
      </w:pPr>
      <w:r>
        <w:t>Step 1: LGD* Calculation (CRE32.10–13)</w:t>
      </w:r>
    </w:p>
    <w:p>
      <w:pPr>
        <w:shd w:fill="F5F5F5"/>
      </w:pPr>
      <w:r>
        <w:rPr>
          <w:rFonts w:ascii="Courier New" w:hAnsi="Courier New"/>
          <w:color w:val="404040"/>
          <w:sz w:val="16"/>
        </w:rPr>
        <w:t>SC    = Collateral × (1 − hc) = $4,000,000 × (1 − 0.40) = $2,400,000</w:t>
      </w:r>
    </w:p>
    <w:p>
      <w:pPr>
        <w:shd w:fill="F5F5F5"/>
      </w:pPr>
      <w:r>
        <w:rPr>
          <w:rFonts w:ascii="Courier New" w:hAnsi="Courier New"/>
          <w:color w:val="404040"/>
          <w:sz w:val="16"/>
        </w:rPr>
        <w:t>E_S   = min(SC, EAD)          = min($2,400,000, $5,000,000) = $2,400,000</w:t>
      </w:r>
    </w:p>
    <w:p>
      <w:pPr>
        <w:shd w:fill="F5F5F5"/>
      </w:pPr>
      <w:r>
        <w:rPr>
          <w:rFonts w:ascii="Courier New" w:hAnsi="Courier New"/>
          <w:color w:val="404040"/>
          <w:sz w:val="16"/>
        </w:rPr>
        <w:t>E_U   = max(EAD − SC, 0)      = max($5,000,000 − $2,400,000, 0) = $2,600,000</w:t>
      </w:r>
    </w:p>
    <w:p>
      <w:pPr>
        <w:shd w:fill="F5F5F5"/>
      </w:pPr>
      <w:r>
        <w:rPr>
          <w:rFonts w:ascii="Courier New" w:hAnsi="Courier New"/>
          <w:color w:val="404040"/>
          <w:sz w:val="16"/>
        </w:rPr>
        <w:t>LGD*  = (E_U / EAD) × LGD_u + (E_S / EAD) × LGD_s</w:t>
      </w:r>
    </w:p>
    <w:p>
      <w:pPr>
        <w:shd w:fill="F5F5F5"/>
      </w:pPr>
      <w:r>
        <w:rPr>
          <w:rFonts w:ascii="Courier New" w:hAnsi="Courier New"/>
          <w:color w:val="404040"/>
          <w:sz w:val="16"/>
        </w:rPr>
        <w:t xml:space="preserve">       = ($2,600,000 / $5,000,000) × 0.45 + ($2,400,000 / $5,000,000) × 0.20</w:t>
      </w:r>
    </w:p>
    <w:p>
      <w:pPr>
        <w:shd w:fill="F5F5F5"/>
      </w:pPr>
      <w:r>
        <w:rPr>
          <w:rFonts w:ascii="Courier New" w:hAnsi="Courier New"/>
          <w:color w:val="404040"/>
          <w:sz w:val="16"/>
        </w:rPr>
        <w:t xml:space="preserve">       = 0.52 × 0.45 + 0.48 × 0.20</w:t>
      </w:r>
    </w:p>
    <w:p>
      <w:pPr>
        <w:shd w:fill="F5F5F5"/>
      </w:pPr>
      <w:r>
        <w:rPr>
          <w:rFonts w:ascii="Courier New" w:hAnsi="Courier New"/>
          <w:color w:val="404040"/>
          <w:sz w:val="16"/>
        </w:rPr>
        <w:t xml:space="preserve">       = 0.2340 + 0.0960</w:t>
      </w:r>
    </w:p>
    <w:p>
      <w:pPr>
        <w:shd w:fill="F5F5F5"/>
      </w:pPr>
      <w:r>
        <w:rPr>
          <w:rFonts w:ascii="Courier New" w:hAnsi="Courier New"/>
          <w:color w:val="404040"/>
          <w:sz w:val="16"/>
        </w:rPr>
        <w:t xml:space="preserve">       = 0.3300   (33%)</w:t>
      </w:r>
    </w:p>
    <w:p>
      <w:pPr>
        <w:shd w:fill="F5F5F5"/>
      </w:pPr>
      <w:r>
        <w:rPr>
          <w:rFonts w:ascii="Courier New" w:hAnsi="Courier New"/>
          <w:color w:val="404040"/>
          <w:sz w:val="16"/>
        </w:rPr>
        <w:t>Floor check: LGD* ≥ 10% (CRE32 COMMERCIAL_RE floor) ✓</w:t>
      </w:r>
    </w:p>
    <w:p>
      <w:pPr>
        <w:shd w:fill="F5F5F5"/>
      </w:pPr>
      <w:r>
        <w:rPr>
          <w:rFonts w:ascii="Courier New" w:hAnsi="Courier New"/>
          <w:color w:val="404040"/>
          <w:sz w:val="16"/>
        </w:rPr>
        <w:t>LGD_eff = 33%</w:t>
      </w:r>
    </w:p>
    <w:p>
      <w:r>
        <w:rPr>
          <w:b/>
        </w:rPr>
        <w:t>Capital saved by collateral:</w:t>
      </w:r>
      <w:r>
        <w:t xml:space="preserve"> LGD reduced from 45% to 33% — a 12 percentage point reduction.</w:t>
      </w:r>
    </w:p>
    <w:p>
      <w:pPr>
        <w:pStyle w:val="Heading3"/>
        <w:jc w:val="left"/>
      </w:pPr>
      <w:r>
        <w:t>Step 2–5: K and RWA Calculation</w:t>
      </w:r>
    </w:p>
    <w:p>
      <w:pPr>
        <w:shd w:fill="F5F5F5"/>
      </w:pPr>
      <w:r>
        <w:rPr>
          <w:rFonts w:ascii="Courier New" w:hAnsi="Courier New"/>
          <w:color w:val="404040"/>
          <w:sz w:val="16"/>
        </w:rPr>
        <w:t>PD  = 1.00%,  LGD_eff = 33%,  M = 5.0yr</w:t>
      </w:r>
    </w:p>
    <w:p>
      <w:pPr>
        <w:shd w:fill="F5F5F5"/>
      </w:pPr>
      <w:r>
        <w:rPr>
          <w:rFonts w:ascii="Courier New" w:hAnsi="Courier New"/>
          <w:color w:val="404040"/>
          <w:sz w:val="16"/>
        </w:rPr>
        <w:t>R = 0.12 × (1 − exp(−0.50)) / 1.0 + 0.24 × (1 − …)</w:t>
      </w:r>
    </w:p>
    <w:p>
      <w:pPr>
        <w:shd w:fill="F5F5F5"/>
      </w:pPr>
      <w:r>
        <w:rPr>
          <w:rFonts w:ascii="Courier New" w:hAnsi="Courier New"/>
          <w:color w:val="404040"/>
          <w:sz w:val="16"/>
        </w:rPr>
        <w:t xml:space="preserve">  = 0.12 × 0.3935 + 0.24 × 0.6065</w:t>
      </w:r>
    </w:p>
    <w:p>
      <w:pPr>
        <w:shd w:fill="F5F5F5"/>
      </w:pPr>
      <w:r>
        <w:rPr>
          <w:rFonts w:ascii="Courier New" w:hAnsi="Courier New"/>
          <w:color w:val="404040"/>
          <w:sz w:val="16"/>
        </w:rPr>
        <w:t xml:space="preserve">  = 0.04722 + 0.14556</w:t>
      </w:r>
    </w:p>
    <w:p>
      <w:pPr>
        <w:shd w:fill="F5F5F5"/>
      </w:pPr>
      <w:r>
        <w:rPr>
          <w:rFonts w:ascii="Courier New" w:hAnsi="Courier New"/>
          <w:color w:val="404040"/>
          <w:sz w:val="16"/>
        </w:rPr>
        <w:t xml:space="preserve">  = 0.1928   (19.3%)</w:t>
      </w:r>
    </w:p>
    <w:p>
      <w:pPr>
        <w:shd w:fill="F5F5F5"/>
      </w:pPr>
      <w:r>
        <w:rPr>
          <w:rFonts w:ascii="Courier New" w:hAnsi="Courier New"/>
          <w:color w:val="404040"/>
          <w:sz w:val="16"/>
        </w:rPr>
        <w:t>b = (0.11852 − 0.05478 × ln(0.010))²</w:t>
      </w:r>
    </w:p>
    <w:p>
      <w:pPr>
        <w:shd w:fill="F5F5F5"/>
      </w:pPr>
      <w:r>
        <w:rPr>
          <w:rFonts w:ascii="Courier New" w:hAnsi="Courier New"/>
          <w:color w:val="404040"/>
          <w:sz w:val="16"/>
        </w:rPr>
        <w:t xml:space="preserve">  = (0.11852 − 0.05478 × (−4.6052))²</w:t>
      </w:r>
    </w:p>
    <w:p>
      <w:pPr>
        <w:shd w:fill="F5F5F5"/>
      </w:pPr>
      <w:r>
        <w:rPr>
          <w:rFonts w:ascii="Courier New" w:hAnsi="Courier New"/>
          <w:color w:val="404040"/>
          <w:sz w:val="16"/>
        </w:rPr>
        <w:t xml:space="preserve">  = (0.11852 + 0.25224)²</w:t>
      </w:r>
    </w:p>
    <w:p>
      <w:pPr>
        <w:shd w:fill="F5F5F5"/>
      </w:pPr>
      <w:r>
        <w:rPr>
          <w:rFonts w:ascii="Courier New" w:hAnsi="Courier New"/>
          <w:color w:val="404040"/>
          <w:sz w:val="16"/>
        </w:rPr>
        <w:t xml:space="preserve">  = (0.37076)²</w:t>
      </w:r>
    </w:p>
    <w:p>
      <w:pPr>
        <w:shd w:fill="F5F5F5"/>
      </w:pPr>
      <w:r>
        <w:rPr>
          <w:rFonts w:ascii="Courier New" w:hAnsi="Courier New"/>
          <w:color w:val="404040"/>
          <w:sz w:val="16"/>
        </w:rPr>
        <w:t xml:space="preserve">  = 0.13746</w:t>
      </w:r>
    </w:p>
    <w:p>
      <w:pPr>
        <w:shd w:fill="F5F5F5"/>
      </w:pPr>
      <w:r>
        <w:rPr>
          <w:rFonts w:ascii="Courier New" w:hAnsi="Courier New"/>
          <w:color w:val="404040"/>
          <w:sz w:val="16"/>
        </w:rPr>
        <w:t>MA = (1 + (5.0 − 2.5) × 0.13746) / (1 − 1.5 × 0.13746)</w:t>
      </w:r>
    </w:p>
    <w:p>
      <w:pPr>
        <w:shd w:fill="F5F5F5"/>
      </w:pPr>
      <w:r>
        <w:rPr>
          <w:rFonts w:ascii="Courier New" w:hAnsi="Courier New"/>
          <w:color w:val="404040"/>
          <w:sz w:val="16"/>
        </w:rPr>
        <w:t xml:space="preserve">   = (1 + 0.34365) / (1 − 0.20619)</w:t>
      </w:r>
    </w:p>
    <w:p>
      <w:pPr>
        <w:shd w:fill="F5F5F5"/>
      </w:pPr>
      <w:r>
        <w:rPr>
          <w:rFonts w:ascii="Courier New" w:hAnsi="Courier New"/>
          <w:color w:val="404040"/>
          <w:sz w:val="16"/>
        </w:rPr>
        <w:t xml:space="preserve">   = 1.34365 / 0.79381</w:t>
      </w:r>
    </w:p>
    <w:p>
      <w:pPr>
        <w:shd w:fill="F5F5F5"/>
      </w:pPr>
      <w:r>
        <w:rPr>
          <w:rFonts w:ascii="Courier New" w:hAnsi="Courier New"/>
          <w:color w:val="404040"/>
          <w:sz w:val="16"/>
        </w:rPr>
        <w:t xml:space="preserve">   = 1.6929</w:t>
      </w:r>
    </w:p>
    <w:p>
      <w:pPr>
        <w:shd w:fill="F5F5F5"/>
      </w:pPr>
      <w:r>
        <w:rPr>
          <w:rFonts w:ascii="Courier New" w:hAnsi="Courier New"/>
          <w:color w:val="404040"/>
          <w:sz w:val="16"/>
        </w:rPr>
        <w:t>z = (N⁻¹(0.010) + √0.1928 × 3.0902) / √(1 − 0.1928)</w:t>
      </w:r>
    </w:p>
    <w:p>
      <w:pPr>
        <w:shd w:fill="F5F5F5"/>
      </w:pPr>
      <w:r>
        <w:rPr>
          <w:rFonts w:ascii="Courier New" w:hAnsi="Courier New"/>
          <w:color w:val="404040"/>
          <w:sz w:val="16"/>
        </w:rPr>
        <w:t xml:space="preserve">  = (−2.3263 + 0.4391 × 3.0902) / √0.8072</w:t>
      </w:r>
    </w:p>
    <w:p>
      <w:pPr>
        <w:shd w:fill="F5F5F5"/>
      </w:pPr>
      <w:r>
        <w:rPr>
          <w:rFonts w:ascii="Courier New" w:hAnsi="Courier New"/>
          <w:color w:val="404040"/>
          <w:sz w:val="16"/>
        </w:rPr>
        <w:t xml:space="preserve">  = (−2.3263 + 1.3565) / 0.8985</w:t>
      </w:r>
    </w:p>
    <w:p>
      <w:pPr>
        <w:shd w:fill="F5F5F5"/>
      </w:pPr>
      <w:r>
        <w:rPr>
          <w:rFonts w:ascii="Courier New" w:hAnsi="Courier New"/>
          <w:color w:val="404040"/>
          <w:sz w:val="16"/>
        </w:rPr>
        <w:t xml:space="preserve">  = −0.9698 / 0.8985</w:t>
      </w:r>
    </w:p>
    <w:p>
      <w:pPr>
        <w:shd w:fill="F5F5F5"/>
      </w:pPr>
      <w:r>
        <w:rPr>
          <w:rFonts w:ascii="Courier New" w:hAnsi="Courier New"/>
          <w:color w:val="404040"/>
          <w:sz w:val="16"/>
        </w:rPr>
        <w:t xml:space="preserve">  = −1.0793</w:t>
      </w:r>
    </w:p>
    <w:p>
      <w:pPr>
        <w:shd w:fill="F5F5F5"/>
      </w:pPr>
      <w:r>
        <w:rPr>
          <w:rFonts w:ascii="Courier New" w:hAnsi="Courier New"/>
          <w:color w:val="404040"/>
          <w:sz w:val="16"/>
        </w:rPr>
        <w:t>N(z) = N(−1.0793) = 0.1402   (14.02% conditional default probability)</w:t>
      </w:r>
    </w:p>
    <w:p>
      <w:pPr>
        <w:shd w:fill="F5F5F5"/>
      </w:pPr>
      <w:r>
        <w:rPr>
          <w:rFonts w:ascii="Courier New" w:hAnsi="Courier New"/>
          <w:color w:val="404040"/>
          <w:sz w:val="16"/>
        </w:rPr>
        <w:t>K_base = 0.33 × 0.1402 − 0.010 × 0.33</w:t>
      </w:r>
    </w:p>
    <w:p>
      <w:pPr>
        <w:shd w:fill="F5F5F5"/>
      </w:pPr>
      <w:r>
        <w:rPr>
          <w:rFonts w:ascii="Courier New" w:hAnsi="Courier New"/>
          <w:color w:val="404040"/>
          <w:sz w:val="16"/>
        </w:rPr>
        <w:t xml:space="preserve">       = 0.04627 − 0.00330</w:t>
      </w:r>
    </w:p>
    <w:p>
      <w:pPr>
        <w:shd w:fill="F5F5F5"/>
      </w:pPr>
      <w:r>
        <w:rPr>
          <w:rFonts w:ascii="Courier New" w:hAnsi="Courier New"/>
          <w:color w:val="404040"/>
          <w:sz w:val="16"/>
        </w:rPr>
        <w:t xml:space="preserve">       = 0.04297</w:t>
      </w:r>
    </w:p>
    <w:p>
      <w:pPr>
        <w:shd w:fill="F5F5F5"/>
      </w:pPr>
      <w:r>
        <w:rPr>
          <w:rFonts w:ascii="Courier New" w:hAnsi="Courier New"/>
          <w:color w:val="404040"/>
          <w:sz w:val="16"/>
        </w:rPr>
        <w:t>K = 0.04297 × 1.6929 = 0.07278   (7.28%)</w:t>
      </w:r>
    </w:p>
    <w:p>
      <w:pPr>
        <w:pStyle w:val="Heading3"/>
        <w:jc w:val="left"/>
      </w:pPr>
      <w:r>
        <w:t>Summary</w:t>
      </w:r>
    </w:p>
    <w:p>
      <w:pPr>
        <w:shd w:fill="F5F5F5"/>
      </w:pPr>
      <w:r>
        <w:rPr>
          <w:rFonts w:ascii="Courier New" w:hAnsi="Courier New"/>
          <w:color w:val="404040"/>
          <w:sz w:val="16"/>
        </w:rPr>
        <w:t xml:space="preserve">                      No CRM         With RE Collateral</w:t>
      </w:r>
    </w:p>
    <w:p>
      <w:pPr>
        <w:shd w:fill="F5F5F5"/>
      </w:pPr>
      <w:r>
        <w:rPr>
          <w:rFonts w:ascii="Courier New" w:hAnsi="Courier New"/>
          <w:color w:val="404040"/>
          <w:sz w:val="16"/>
        </w:rPr>
        <w:t>PD                    1.00%          1.00%</w:t>
      </w:r>
    </w:p>
    <w:p>
      <w:pPr>
        <w:shd w:fill="F5F5F5"/>
      </w:pPr>
      <w:r>
        <w:rPr>
          <w:rFonts w:ascii="Courier New" w:hAnsi="Courier New"/>
          <w:color w:val="404040"/>
          <w:sz w:val="16"/>
        </w:rPr>
        <w:t>LGD                   45%            33%           (−12pp from LGD*)</w:t>
      </w:r>
    </w:p>
    <w:p>
      <w:pPr>
        <w:shd w:fill="F5F5F5"/>
      </w:pPr>
      <w:r>
        <w:rPr>
          <w:rFonts w:ascii="Courier New" w:hAnsi="Courier New"/>
          <w:color w:val="404040"/>
          <w:sz w:val="16"/>
        </w:rPr>
        <w:t>K                     8.59%          7.28%         (−15.2% capital reduction)</w:t>
      </w:r>
    </w:p>
    <w:p>
      <w:pPr>
        <w:shd w:fill="F5F5F5"/>
      </w:pPr>
      <w:r>
        <w:rPr>
          <w:rFonts w:ascii="Courier New" w:hAnsi="Courier New"/>
          <w:color w:val="404040"/>
          <w:sz w:val="16"/>
        </w:rPr>
        <w:t>RWA                   $5,369,500     $4,549,750    (−$819,750 saved)</w:t>
      </w:r>
    </w:p>
    <w:p>
      <w:pPr>
        <w:shd w:fill="F5F5F5"/>
      </w:pPr>
      <w:r>
        <w:rPr>
          <w:rFonts w:ascii="Courier New" w:hAnsi="Courier New"/>
          <w:color w:val="404040"/>
          <w:sz w:val="16"/>
        </w:rPr>
        <w:t>Risk Weight           107.4%         91.0%</w:t>
      </w:r>
    </w:p>
    <w:p>
      <w:pPr>
        <w:shd w:fill="F5F5F5"/>
      </w:pPr>
      <w:r>
        <w:rPr>
          <w:rFonts w:ascii="Courier New" w:hAnsi="Courier New"/>
          <w:color w:val="404040"/>
          <w:sz w:val="16"/>
        </w:rPr>
        <w:t>EL                    $45,000        $33,000       (lower provisioning need)</w:t>
      </w:r>
    </w:p>
    <w:p>
      <w:r>
        <w:rPr>
          <w:b/>
        </w:rPr>
        <w:t>Collateral efficiency:</w:t>
      </w:r>
      <w:r>
        <w:t xml:space="preserve"> USD 4M of commercial real estate (after 40% haircut → $2.4M effective) reduces RWA by $819,750. The "return on collateral" (RWA saved / collateral value) = 20.5%.</w:t>
      </w:r>
    </w:p>
    <w:p>
      <w:pPr>
        <w:pStyle w:val="Heading2"/>
        <w:jc w:val="left"/>
      </w:pPr>
      <w:r>
        <w:t>Appendix C: Numeric Example — Guaranteed Exposure (Split-K Method)</w:t>
      </w:r>
    </w:p>
    <w:p>
      <w:pPr>
        <w:pStyle w:val="Heading3"/>
        <w:jc w:val="left"/>
      </w:pPr>
      <w:r>
        <w:t>The Exposure</w:t>
      </w:r>
    </w:p>
    <w:p>
      <w:r>
        <w:t xml:space="preserve">&gt; </w:t>
      </w:r>
      <w:r>
        <w:rPr>
          <w:b/>
        </w:rPr>
        <w:t>Obligor:</w:t>
      </w:r>
      <w:r>
        <w:t xml:space="preserve"> Mid-cap corporate, PD = 3.00% (BB-rated)</w:t>
      </w:r>
    </w:p>
    <w:p>
      <w:r>
        <w:t xml:space="preserve">&gt; </w:t>
      </w:r>
      <w:r>
        <w:rPr>
          <w:b/>
        </w:rPr>
        <w:t>Guarantor:</w:t>
      </w:r>
      <w:r>
        <w:t xml:space="preserve"> Investment-grade bank, PD = 0.20% (A-rated)</w:t>
      </w:r>
    </w:p>
    <w:p>
      <w:r>
        <w:t xml:space="preserve">&gt; </w:t>
      </w:r>
      <w:r>
        <w:rPr>
          <w:b/>
        </w:rPr>
        <w:t>EAD:</w:t>
      </w:r>
      <w:r>
        <w:t xml:space="preserve"> USD 8,000,000</w:t>
      </w:r>
    </w:p>
    <w:p>
      <w:r>
        <w:t xml:space="preserve">&gt; </w:t>
      </w:r>
      <w:r>
        <w:rPr>
          <w:b/>
        </w:rPr>
        <w:t>LGD_obligor:</w:t>
      </w:r>
      <w:r>
        <w:t xml:space="preserve"> 45% (unsecured senior)</w:t>
      </w:r>
    </w:p>
    <w:p>
      <w:r>
        <w:t xml:space="preserve">&gt; </w:t>
      </w:r>
      <w:r>
        <w:rPr>
          <w:b/>
        </w:rPr>
        <w:t>LGD_guarantor:</w:t>
      </w:r>
      <w:r>
        <w:t xml:space="preserve"> 45%</w:t>
      </w:r>
    </w:p>
    <w:p>
      <w:r>
        <w:t xml:space="preserve">&gt; </w:t>
      </w:r>
      <w:r>
        <w:rPr>
          <w:b/>
        </w:rPr>
        <w:t>Guarantee Coverage:</w:t>
      </w:r>
      <w:r>
        <w:t xml:space="preserve"> 60% of EAD</w:t>
      </w:r>
    </w:p>
    <w:p>
      <w:r>
        <w:t xml:space="preserve">&gt; </w:t>
      </w:r>
      <w:r>
        <w:rPr>
          <w:b/>
        </w:rPr>
        <w:t>Maturity:</w:t>
      </w:r>
      <w:r>
        <w:t xml:space="preserve"> 4 years</w:t>
      </w:r>
    </w:p>
    <w:p>
      <w:pPr>
        <w:pStyle w:val="Heading3"/>
        <w:jc w:val="left"/>
      </w:pPr>
      <w:r>
        <w:t>Step 1: Compute K_obligor (uncovered portion — 40%)</w:t>
      </w:r>
    </w:p>
    <w:p>
      <w:pPr>
        <w:shd w:fill="F5F5F5"/>
      </w:pPr>
      <w:r>
        <w:rPr>
          <w:rFonts w:ascii="Courier New" w:hAnsi="Courier New"/>
          <w:color w:val="404040"/>
          <w:sz w:val="16"/>
        </w:rPr>
        <w:t>PD_obligor = 3.00%</w:t>
      </w:r>
    </w:p>
    <w:p>
      <w:pPr>
        <w:shd w:fill="F5F5F5"/>
      </w:pPr>
      <w:r>
        <w:rPr>
          <w:rFonts w:ascii="Courier New" w:hAnsi="Courier New"/>
          <w:color w:val="404040"/>
          <w:sz w:val="16"/>
        </w:rPr>
        <w:t>R_obligor  = 0.12 × (1 − exp(−1.50)) + 0.24 × (1 − …) = 0.1659  (16.6%)</w:t>
      </w:r>
    </w:p>
    <w:p>
      <w:pPr>
        <w:shd w:fill="F5F5F5"/>
      </w:pPr>
      <w:r>
        <w:rPr>
          <w:rFonts w:ascii="Courier New" w:hAnsi="Courier New"/>
          <w:color w:val="404040"/>
          <w:sz w:val="16"/>
        </w:rPr>
        <w:t>b_obligor  = (0.11852 − 0.05478 × ln(0.030))² = (0.11852 + 0.19118)² = 0.09580</w:t>
      </w:r>
    </w:p>
    <w:p>
      <w:pPr>
        <w:shd w:fill="F5F5F5"/>
      </w:pPr>
      <w:r>
        <w:rPr>
          <w:rFonts w:ascii="Courier New" w:hAnsi="Courier New"/>
          <w:color w:val="404040"/>
          <w:sz w:val="16"/>
        </w:rPr>
        <w:t>MA_obl     = (1 + (4 − 2.5) × 0.09580) / (1 − 1.5 × 0.09580) = 1.2044</w:t>
      </w:r>
    </w:p>
    <w:p>
      <w:pPr>
        <w:shd w:fill="F5F5F5"/>
      </w:pPr>
      <w:r>
        <w:rPr>
          <w:rFonts w:ascii="Courier New" w:hAnsi="Courier New"/>
          <w:color w:val="404040"/>
          <w:sz w:val="16"/>
        </w:rPr>
        <w:t>z_obl      = (N⁻¹(0.030) + √0.1659 × 3.0902) / √0.8341</w:t>
      </w:r>
    </w:p>
    <w:p>
      <w:pPr>
        <w:shd w:fill="F5F5F5"/>
      </w:pPr>
      <w:r>
        <w:rPr>
          <w:rFonts w:ascii="Courier New" w:hAnsi="Courier New"/>
          <w:color w:val="404040"/>
          <w:sz w:val="16"/>
        </w:rPr>
        <w:t xml:space="preserve">           = (−1.8808 + 1.2586) / 0.9133</w:t>
      </w:r>
    </w:p>
    <w:p>
      <w:pPr>
        <w:shd w:fill="F5F5F5"/>
      </w:pPr>
      <w:r>
        <w:rPr>
          <w:rFonts w:ascii="Courier New" w:hAnsi="Courier New"/>
          <w:color w:val="404040"/>
          <w:sz w:val="16"/>
        </w:rPr>
        <w:t xml:space="preserve">           = −0.6815</w:t>
      </w:r>
    </w:p>
    <w:p>
      <w:pPr>
        <w:shd w:fill="F5F5F5"/>
      </w:pPr>
      <w:r>
        <w:rPr>
          <w:rFonts w:ascii="Courier New" w:hAnsi="Courier New"/>
          <w:color w:val="404040"/>
          <w:sz w:val="16"/>
        </w:rPr>
        <w:t>N(z_obl)   = N(−0.6815) = 0.2478</w:t>
      </w:r>
    </w:p>
    <w:p>
      <w:pPr>
        <w:shd w:fill="F5F5F5"/>
      </w:pPr>
      <w:r>
        <w:rPr>
          <w:rFonts w:ascii="Courier New" w:hAnsi="Courier New"/>
          <w:color w:val="404040"/>
          <w:sz w:val="16"/>
        </w:rPr>
        <w:t>K_base_obl = 0.45 × 0.2478 − 0.030 × 0.45 = 0.11151 − 0.01350 = 0.09801</w:t>
      </w:r>
    </w:p>
    <w:p>
      <w:pPr>
        <w:shd w:fill="F5F5F5"/>
      </w:pPr>
      <w:r>
        <w:rPr>
          <w:rFonts w:ascii="Courier New" w:hAnsi="Courier New"/>
          <w:color w:val="404040"/>
          <w:sz w:val="16"/>
        </w:rPr>
        <w:t>K_obligor  = 0.09801 × 1.2044 = 0.11804   (11.80%)</w:t>
      </w:r>
    </w:p>
    <w:p>
      <w:pPr>
        <w:pStyle w:val="Heading3"/>
        <w:jc w:val="left"/>
      </w:pPr>
      <w:r>
        <w:t>Step 2: Compute K_guarantor (covered portion — 60%)</w:t>
      </w:r>
    </w:p>
    <w:p>
      <w:pPr>
        <w:shd w:fill="F5F5F5"/>
      </w:pPr>
      <w:r>
        <w:rPr>
          <w:rFonts w:ascii="Courier New" w:hAnsi="Courier New"/>
          <w:color w:val="404040"/>
          <w:sz w:val="16"/>
        </w:rPr>
        <w:t>PD_guarantor = 0.20%</w:t>
      </w:r>
    </w:p>
    <w:p>
      <w:pPr>
        <w:shd w:fill="F5F5F5"/>
      </w:pPr>
      <w:r>
        <w:rPr>
          <w:rFonts w:ascii="Courier New" w:hAnsi="Courier New"/>
          <w:color w:val="404040"/>
          <w:sz w:val="16"/>
        </w:rPr>
        <w:t>R_guarantor  = 0.12 × (1 − exp(−0.10)) + 0.24 × (1 − …) = 0.2274  (22.7%)</w:t>
      </w:r>
    </w:p>
    <w:p>
      <w:pPr>
        <w:shd w:fill="F5F5F5"/>
      </w:pPr>
      <w:r>
        <w:rPr>
          <w:rFonts w:ascii="Courier New" w:hAnsi="Courier New"/>
          <w:color w:val="404040"/>
          <w:sz w:val="16"/>
        </w:rPr>
        <w:t>b_guarantor  = (0.11852 − 0.05478 × ln(0.002))² = (0.11852 + 0.33929)² = 0.20975</w:t>
      </w:r>
    </w:p>
    <w:p>
      <w:pPr>
        <w:shd w:fill="F5F5F5"/>
      </w:pPr>
      <w:r>
        <w:rPr>
          <w:rFonts w:ascii="Courier New" w:hAnsi="Courier New"/>
          <w:color w:val="404040"/>
          <w:sz w:val="16"/>
        </w:rPr>
        <w:t>MA_gua       = (1 + (4 − 2.5) × 0.20975) / (1 − 1.5 × 0.20975) = 1.5316</w:t>
      </w:r>
    </w:p>
    <w:p>
      <w:pPr>
        <w:shd w:fill="F5F5F5"/>
      </w:pPr>
      <w:r>
        <w:rPr>
          <w:rFonts w:ascii="Courier New" w:hAnsi="Courier New"/>
          <w:color w:val="404040"/>
          <w:sz w:val="16"/>
        </w:rPr>
        <w:t>z_gua        = (N⁻¹(0.002) + √0.2274 × 3.0902) / √0.7726</w:t>
      </w:r>
    </w:p>
    <w:p>
      <w:pPr>
        <w:shd w:fill="F5F5F5"/>
      </w:pPr>
      <w:r>
        <w:rPr>
          <w:rFonts w:ascii="Courier New" w:hAnsi="Courier New"/>
          <w:color w:val="404040"/>
          <w:sz w:val="16"/>
        </w:rPr>
        <w:t xml:space="preserve">            = (−2.8782 + 1.4730) / 0.8790</w:t>
      </w:r>
    </w:p>
    <w:p>
      <w:pPr>
        <w:shd w:fill="F5F5F5"/>
      </w:pPr>
      <w:r>
        <w:rPr>
          <w:rFonts w:ascii="Courier New" w:hAnsi="Courier New"/>
          <w:color w:val="404040"/>
          <w:sz w:val="16"/>
        </w:rPr>
        <w:t xml:space="preserve">            = −1.5974</w:t>
      </w:r>
    </w:p>
    <w:p>
      <w:pPr>
        <w:shd w:fill="F5F5F5"/>
      </w:pPr>
      <w:r>
        <w:rPr>
          <w:rFonts w:ascii="Courier New" w:hAnsi="Courier New"/>
          <w:color w:val="404040"/>
          <w:sz w:val="16"/>
        </w:rPr>
        <w:t>N(z_gua)     = N(−1.5974) = 0.0551</w:t>
      </w:r>
    </w:p>
    <w:p>
      <w:pPr>
        <w:shd w:fill="F5F5F5"/>
      </w:pPr>
      <w:r>
        <w:rPr>
          <w:rFonts w:ascii="Courier New" w:hAnsi="Courier New"/>
          <w:color w:val="404040"/>
          <w:sz w:val="16"/>
        </w:rPr>
        <w:t>K_base_gua   = 0.45 × 0.0551 − 0.002 × 0.45 = 0.02480 − 0.00090 = 0.02390</w:t>
      </w:r>
    </w:p>
    <w:p>
      <w:pPr>
        <w:shd w:fill="F5F5F5"/>
      </w:pPr>
      <w:r>
        <w:rPr>
          <w:rFonts w:ascii="Courier New" w:hAnsi="Courier New"/>
          <w:color w:val="404040"/>
          <w:sz w:val="16"/>
        </w:rPr>
        <w:t>K_guarantor  = 0.02390 × 1.5316 = 0.03661   (3.66%)</w:t>
      </w:r>
    </w:p>
    <w:p>
      <w:pPr>
        <w:pStyle w:val="Heading3"/>
        <w:jc w:val="left"/>
      </w:pPr>
      <w:r>
        <w:t>Step 3: Split-K Blending (CRE32.24 — FIX-04)</w:t>
      </w:r>
    </w:p>
    <w:p>
      <w:pPr>
        <w:shd w:fill="F5F5F5"/>
      </w:pPr>
      <w:r>
        <w:rPr>
          <w:rFonts w:ascii="Courier New" w:hAnsi="Courier New"/>
          <w:color w:val="404040"/>
          <w:sz w:val="16"/>
        </w:rPr>
        <w:t>K_blended = Coverage × K_guarantor + (1 − Coverage) × K_obligor</w:t>
      </w:r>
    </w:p>
    <w:p>
      <w:pPr>
        <w:shd w:fill="F5F5F5"/>
      </w:pPr>
      <w:r>
        <w:rPr>
          <w:rFonts w:ascii="Courier New" w:hAnsi="Courier New"/>
          <w:color w:val="404040"/>
          <w:sz w:val="16"/>
        </w:rPr>
        <w:t xml:space="preserve">           = 0.60 × 0.03661 + 0.40 × 0.11804</w:t>
      </w:r>
    </w:p>
    <w:p>
      <w:pPr>
        <w:shd w:fill="F5F5F5"/>
      </w:pPr>
      <w:r>
        <w:rPr>
          <w:rFonts w:ascii="Courier New" w:hAnsi="Courier New"/>
          <w:color w:val="404040"/>
          <w:sz w:val="16"/>
        </w:rPr>
        <w:t xml:space="preserve">           = 0.02197 + 0.04722</w:t>
      </w:r>
    </w:p>
    <w:p>
      <w:pPr>
        <w:shd w:fill="F5F5F5"/>
      </w:pPr>
      <w:r>
        <w:rPr>
          <w:rFonts w:ascii="Courier New" w:hAnsi="Courier New"/>
          <w:color w:val="404040"/>
          <w:sz w:val="16"/>
        </w:rPr>
        <w:t xml:space="preserve">           = 0.06919   (6.92%)</w:t>
      </w:r>
    </w:p>
    <w:p>
      <w:pPr>
        <w:pStyle w:val="Heading3"/>
        <w:jc w:val="left"/>
      </w:pPr>
      <w:r>
        <w:t>Summary — Guarantee Benefit</w:t>
      </w:r>
    </w:p>
    <w:p>
      <w:pPr>
        <w:shd w:fill="F5F5F5"/>
      </w:pPr>
      <w:r>
        <w:rPr>
          <w:rFonts w:ascii="Courier New" w:hAnsi="Courier New"/>
          <w:color w:val="404040"/>
          <w:sz w:val="16"/>
        </w:rPr>
        <w:t xml:space="preserve">                    No Guarantee    With 60% Guarantee</w:t>
      </w:r>
    </w:p>
    <w:p>
      <w:pPr>
        <w:shd w:fill="F5F5F5"/>
      </w:pPr>
      <w:r>
        <w:rPr>
          <w:rFonts w:ascii="Courier New" w:hAnsi="Courier New"/>
          <w:color w:val="404040"/>
          <w:sz w:val="16"/>
        </w:rPr>
        <w:t>PD applied          3.00%           60%×0.20% + 40%×3.00% (split)</w:t>
      </w:r>
    </w:p>
    <w:p>
      <w:pPr>
        <w:shd w:fill="F5F5F5"/>
      </w:pPr>
      <w:r>
        <w:rPr>
          <w:rFonts w:ascii="Courier New" w:hAnsi="Courier New"/>
          <w:color w:val="404040"/>
          <w:sz w:val="16"/>
        </w:rPr>
        <w:t>K                   11.80%          6.92%          (−41.4% capital reduction!)</w:t>
      </w:r>
    </w:p>
    <w:p>
      <w:pPr>
        <w:shd w:fill="F5F5F5"/>
      </w:pPr>
      <w:r>
        <w:rPr>
          <w:rFonts w:ascii="Courier New" w:hAnsi="Courier New"/>
          <w:color w:val="404040"/>
          <w:sz w:val="16"/>
        </w:rPr>
        <w:t>RWA                 $11,803,200     $6,918,720     (−$4,884,480)</w:t>
      </w:r>
    </w:p>
    <w:p>
      <w:pPr>
        <w:shd w:fill="F5F5F5"/>
      </w:pPr>
      <w:r>
        <w:rPr>
          <w:rFonts w:ascii="Courier New" w:hAnsi="Courier New"/>
          <w:color w:val="404040"/>
          <w:sz w:val="16"/>
        </w:rPr>
        <w:t>Risk Weight         147.5%          86.5%</w:t>
      </w:r>
    </w:p>
    <w:p>
      <w:r>
        <w:rPr>
          <w:b/>
        </w:rPr>
        <w:t>Why split-K matters:</w:t>
      </w:r>
      <w:r>
        <w:t xml:space="preserve"> If we had incorrectly blended PDs (60%×0.20% + 40%×3.00% = 1.32%) and fed that single PD to K, we would get K ≈ 8.1% — 17% higher than the correct 6.92%. The </w:t>
      </w:r>
      <w:r>
        <w:rPr>
          <w:b/>
        </w:rPr>
        <w:t>non-linearity</w:t>
      </w:r>
      <w:r>
        <w:t xml:space="preserve"> of the Vasicek formula means PD blending overstates capital.</w:t>
      </w:r>
    </w:p>
    <w:p>
      <w:pPr>
        <w:pStyle w:val="Heading2"/>
        <w:jc w:val="left"/>
      </w:pPr>
      <w:r>
        <w:t>Appendix D: Numeric Example — Retail Mortgage Portfolio</w:t>
      </w:r>
    </w:p>
    <w:p>
      <w:pPr>
        <w:pStyle w:val="Heading3"/>
        <w:jc w:val="left"/>
      </w:pPr>
      <w:r>
        <w:t>The Exposure</w:t>
      </w:r>
    </w:p>
    <w:p>
      <w:r>
        <w:t xml:space="preserve">&gt; </w:t>
      </w:r>
      <w:r>
        <w:rPr>
          <w:b/>
        </w:rPr>
        <w:t>Product:</w:t>
      </w:r>
      <w:r>
        <w:t xml:space="preserve"> Residential mortgage portfolio (aggregated)</w:t>
      </w:r>
    </w:p>
    <w:p>
      <w:r>
        <w:t xml:space="preserve">&gt; </w:t>
      </w:r>
      <w:r>
        <w:rPr>
          <w:b/>
        </w:rPr>
        <w:t>Asset Class:</w:t>
      </w:r>
      <w:r>
        <w:t xml:space="preserve"> RETAIL_MORT</w:t>
      </w:r>
    </w:p>
    <w:p>
      <w:r>
        <w:t xml:space="preserve">&gt; </w:t>
      </w:r>
      <w:r>
        <w:rPr>
          <w:b/>
        </w:rPr>
        <w:t>EAD:</w:t>
      </w:r>
      <w:r>
        <w:t xml:space="preserve"> USD 50,000,000 (portfolio of 500 mortgages, average $100k each)</w:t>
      </w:r>
    </w:p>
    <w:p>
      <w:r>
        <w:t xml:space="preserve">&gt; </w:t>
      </w:r>
      <w:r>
        <w:rPr>
          <w:b/>
        </w:rPr>
        <w:t>PD:</w:t>
      </w:r>
      <w:r>
        <w:t xml:space="preserve"> 0.80% (weighted average — well-seasoned UK owner-occupier portfolio)</w:t>
      </w:r>
    </w:p>
    <w:p>
      <w:r>
        <w:t xml:space="preserve">&gt; </w:t>
      </w:r>
      <w:r>
        <w:rPr>
          <w:b/>
        </w:rPr>
        <w:t>LGD:</w:t>
      </w:r>
      <w:r>
        <w:t xml:space="preserve"> 15% (low — first-charge residential mortgage, LTV 65%)</w:t>
      </w:r>
    </w:p>
    <w:p>
      <w:r>
        <w:t xml:space="preserve">&gt; </w:t>
      </w:r>
      <w:r>
        <w:rPr>
          <w:b/>
        </w:rPr>
        <w:t>Maturity:</w:t>
      </w:r>
      <w:r>
        <w:t xml:space="preserve"> Fixed at 1 year (CRE31.13 — no maturity adjustment for retail)</w:t>
      </w:r>
    </w:p>
    <w:p>
      <w:pPr>
        <w:pStyle w:val="Heading3"/>
        <w:jc w:val="left"/>
      </w:pPr>
      <w:r>
        <w:t>Key Differences for Retail</w:t>
      </w:r>
    </w:p>
    <w:p>
      <w:pPr>
        <w:pStyle w:val="ListBullet"/>
      </w:pPr>
      <w:r>
        <w:t>**R = 0.15 (fixed)** — not the PD-dependent corporate formula</w:t>
      </w:r>
    </w:p>
    <w:p>
      <w:pPr>
        <w:pStyle w:val="ListBullet"/>
      </w:pPr>
      <w:r>
        <w:t>**b = 0, MA = 1** — no maturity adjustment</w:t>
      </w:r>
    </w:p>
    <w:p>
      <w:pPr>
        <w:pStyle w:val="ListBullet"/>
      </w:pPr>
      <w:r>
        <w:t>**No maturity adjustment** — K formula is simpler</w:t>
      </w:r>
    </w:p>
    <w:p>
      <w:pPr>
        <w:pStyle w:val="Heading3"/>
        <w:jc w:val="left"/>
      </w:pPr>
      <w:r>
        <w:t>Capital Calculation</w:t>
      </w:r>
    </w:p>
    <w:p>
      <w:pPr>
        <w:shd w:fill="F5F5F5"/>
      </w:pPr>
      <w:r>
        <w:rPr>
          <w:rFonts w:ascii="Courier New" w:hAnsi="Courier New"/>
          <w:color w:val="404040"/>
          <w:sz w:val="16"/>
        </w:rPr>
        <w:t>R  = 0.15 (fixed — CRE31.13)</w:t>
      </w:r>
    </w:p>
    <w:p>
      <w:pPr>
        <w:shd w:fill="F5F5F5"/>
      </w:pPr>
      <w:r>
        <w:rPr>
          <w:rFonts w:ascii="Courier New" w:hAnsi="Courier New"/>
          <w:color w:val="404040"/>
          <w:sz w:val="16"/>
        </w:rPr>
        <w:t>b  = 0    (retail — no maturity adjustment)</w:t>
      </w:r>
    </w:p>
    <w:p>
      <w:pPr>
        <w:shd w:fill="F5F5F5"/>
      </w:pPr>
      <w:r>
        <w:rPr>
          <w:rFonts w:ascii="Courier New" w:hAnsi="Courier New"/>
          <w:color w:val="404040"/>
          <w:sz w:val="16"/>
        </w:rPr>
        <w:t>MA = 1.0</w:t>
      </w:r>
    </w:p>
    <w:p>
      <w:pPr>
        <w:shd w:fill="F5F5F5"/>
      </w:pPr>
      <w:r>
        <w:rPr>
          <w:rFonts w:ascii="Courier New" w:hAnsi="Courier New"/>
          <w:color w:val="404040"/>
          <w:sz w:val="16"/>
        </w:rPr>
        <w:t>N⁻¹(0.0080) = −2.4089</w:t>
      </w:r>
    </w:p>
    <w:p>
      <w:pPr>
        <w:shd w:fill="F5F5F5"/>
      </w:pPr>
      <w:r>
        <w:rPr>
          <w:rFonts w:ascii="Courier New" w:hAnsi="Courier New"/>
          <w:color w:val="404040"/>
          <w:sz w:val="16"/>
        </w:rPr>
        <w:t>z = (−2.4089 + √0.15 × 3.0902) / √(1 − 0.15)</w:t>
      </w:r>
    </w:p>
    <w:p>
      <w:pPr>
        <w:shd w:fill="F5F5F5"/>
      </w:pPr>
      <w:r>
        <w:rPr>
          <w:rFonts w:ascii="Courier New" w:hAnsi="Courier New"/>
          <w:color w:val="404040"/>
          <w:sz w:val="16"/>
        </w:rPr>
        <w:t xml:space="preserve">  = (−2.4089 + 0.3873 × 3.0902) / √0.85</w:t>
      </w:r>
    </w:p>
    <w:p>
      <w:pPr>
        <w:shd w:fill="F5F5F5"/>
      </w:pPr>
      <w:r>
        <w:rPr>
          <w:rFonts w:ascii="Courier New" w:hAnsi="Courier New"/>
          <w:color w:val="404040"/>
          <w:sz w:val="16"/>
        </w:rPr>
        <w:t xml:space="preserve">  = (−2.4089 + 1.1962) / 0.9220</w:t>
      </w:r>
    </w:p>
    <w:p>
      <w:pPr>
        <w:shd w:fill="F5F5F5"/>
      </w:pPr>
      <w:r>
        <w:rPr>
          <w:rFonts w:ascii="Courier New" w:hAnsi="Courier New"/>
          <w:color w:val="404040"/>
          <w:sz w:val="16"/>
        </w:rPr>
        <w:t xml:space="preserve">  = −1.2127 / 0.9220</w:t>
      </w:r>
    </w:p>
    <w:p>
      <w:pPr>
        <w:shd w:fill="F5F5F5"/>
      </w:pPr>
      <w:r>
        <w:rPr>
          <w:rFonts w:ascii="Courier New" w:hAnsi="Courier New"/>
          <w:color w:val="404040"/>
          <w:sz w:val="16"/>
        </w:rPr>
        <w:t xml:space="preserve">  = −1.3152</w:t>
      </w:r>
    </w:p>
    <w:p>
      <w:pPr>
        <w:shd w:fill="F5F5F5"/>
      </w:pPr>
      <w:r>
        <w:rPr>
          <w:rFonts w:ascii="Courier New" w:hAnsi="Courier New"/>
          <w:color w:val="404040"/>
          <w:sz w:val="16"/>
        </w:rPr>
        <w:t>N(z) = N(−1.3152) = 0.0942   (9.42% conditional default probability)</w:t>
      </w:r>
    </w:p>
    <w:p>
      <w:pPr>
        <w:shd w:fill="F5F5F5"/>
      </w:pPr>
      <w:r>
        <w:rPr>
          <w:rFonts w:ascii="Courier New" w:hAnsi="Courier New"/>
          <w:color w:val="404040"/>
          <w:sz w:val="16"/>
        </w:rPr>
        <w:t>K_base = LGD × N(z) − PD × LGD</w:t>
      </w:r>
    </w:p>
    <w:p>
      <w:pPr>
        <w:shd w:fill="F5F5F5"/>
      </w:pPr>
      <w:r>
        <w:rPr>
          <w:rFonts w:ascii="Courier New" w:hAnsi="Courier New"/>
          <w:color w:val="404040"/>
          <w:sz w:val="16"/>
        </w:rPr>
        <w:t xml:space="preserve">       = 0.15 × 0.0942 − 0.0080 × 0.15</w:t>
      </w:r>
    </w:p>
    <w:p>
      <w:pPr>
        <w:shd w:fill="F5F5F5"/>
      </w:pPr>
      <w:r>
        <w:rPr>
          <w:rFonts w:ascii="Courier New" w:hAnsi="Courier New"/>
          <w:color w:val="404040"/>
          <w:sz w:val="16"/>
        </w:rPr>
        <w:t xml:space="preserve">       = 0.01413 − 0.00120</w:t>
      </w:r>
    </w:p>
    <w:p>
      <w:pPr>
        <w:shd w:fill="F5F5F5"/>
      </w:pPr>
      <w:r>
        <w:rPr>
          <w:rFonts w:ascii="Courier New" w:hAnsi="Courier New"/>
          <w:color w:val="404040"/>
          <w:sz w:val="16"/>
        </w:rPr>
        <w:t xml:space="preserve">       = 0.01293</w:t>
      </w:r>
    </w:p>
    <w:p>
      <w:pPr>
        <w:shd w:fill="F5F5F5"/>
      </w:pPr>
      <w:r>
        <w:rPr>
          <w:rFonts w:ascii="Courier New" w:hAnsi="Courier New"/>
          <w:color w:val="404040"/>
          <w:sz w:val="16"/>
        </w:rPr>
        <w:t>K = K_base × MA = 0.01293 × 1.0 = 0.01293   (1.29%)</w:t>
      </w:r>
    </w:p>
    <w:p>
      <w:pPr>
        <w:pStyle w:val="Heading3"/>
        <w:jc w:val="left"/>
      </w:pPr>
      <w:r>
        <w:t>Summary</w:t>
      </w:r>
    </w:p>
    <w:p>
      <w:pPr>
        <w:shd w:fill="F5F5F5"/>
      </w:pPr>
      <w:r>
        <w:rPr>
          <w:rFonts w:ascii="Courier New" w:hAnsi="Courier New"/>
          <w:color w:val="404040"/>
          <w:sz w:val="16"/>
        </w:rPr>
        <w:t>EAD = $50,000,000   PD = 0.80%   LGD = 15%   R = 0.15 (fixed)</w:t>
      </w:r>
    </w:p>
    <w:p>
      <w:pPr>
        <w:shd w:fill="F5F5F5"/>
      </w:pPr>
      <w:r>
        <w:rPr>
          <w:rFonts w:ascii="Courier New" w:hAnsi="Courier New"/>
          <w:color w:val="404040"/>
          <w:sz w:val="16"/>
        </w:rPr>
        <w:t>K       = 1.29%</w:t>
      </w:r>
    </w:p>
    <w:p>
      <w:pPr>
        <w:shd w:fill="F5F5F5"/>
      </w:pPr>
      <w:r>
        <w:rPr>
          <w:rFonts w:ascii="Courier New" w:hAnsi="Courier New"/>
          <w:color w:val="404040"/>
          <w:sz w:val="16"/>
        </w:rPr>
        <w:t>RWA     = 0.01293 × 12.5 × $50,000,000 = $8,081,250</w:t>
      </w:r>
    </w:p>
    <w:p>
      <w:pPr>
        <w:shd w:fill="F5F5F5"/>
      </w:pPr>
      <w:r>
        <w:rPr>
          <w:rFonts w:ascii="Courier New" w:hAnsi="Courier New"/>
          <w:color w:val="404040"/>
          <w:sz w:val="16"/>
        </w:rPr>
        <w:t>Risk Weight = 16.2%</w:t>
      </w:r>
    </w:p>
    <w:p>
      <w:pPr>
        <w:shd w:fill="F5F5F5"/>
      </w:pPr>
      <w:r>
        <w:rPr>
          <w:rFonts w:ascii="Courier New" w:hAnsi="Courier New"/>
          <w:color w:val="404040"/>
          <w:sz w:val="16"/>
        </w:rPr>
        <w:t>EL      = 0.80% × 15% × $50M = $60,000</w:t>
      </w:r>
    </w:p>
    <w:p>
      <w:pPr>
        <w:shd w:fill="F5F5F5"/>
      </w:pPr>
      <w:r>
        <w:rPr>
          <w:rFonts w:ascii="Courier New" w:hAnsi="Courier New"/>
          <w:color w:val="404040"/>
          <w:sz w:val="16"/>
        </w:rPr>
        <w:t>Compare to Standardised Approach:</w:t>
      </w:r>
    </w:p>
    <w:p>
      <w:pPr>
        <w:shd w:fill="F5F5F5"/>
      </w:pPr>
      <w:r>
        <w:rPr>
          <w:rFonts w:ascii="Courier New" w:hAnsi="Courier New"/>
          <w:color w:val="404040"/>
          <w:sz w:val="16"/>
        </w:rPr>
        <w:t xml:space="preserve">  SA Risk Weight (LTV 65%) = 35%   (CRE20)</w:t>
      </w:r>
    </w:p>
    <w:p>
      <w:pPr>
        <w:shd w:fill="F5F5F5"/>
      </w:pPr>
      <w:r>
        <w:rPr>
          <w:rFonts w:ascii="Courier New" w:hAnsi="Courier New"/>
          <w:color w:val="404040"/>
          <w:sz w:val="16"/>
        </w:rPr>
        <w:t xml:space="preserve">  SA RWA = 35% × $50M = $17,500,000</w:t>
      </w:r>
    </w:p>
    <w:p>
      <w:pPr>
        <w:shd w:fill="F5F5F5"/>
      </w:pPr>
      <w:r>
        <w:rPr>
          <w:rFonts w:ascii="Courier New" w:hAnsi="Courier New"/>
          <w:color w:val="404040"/>
          <w:sz w:val="16"/>
        </w:rPr>
        <w:t>SA Output Floor: 72.5% × $17,500,000 = $12,687,500</w:t>
      </w:r>
    </w:p>
    <w:p>
      <w:pPr>
        <w:shd w:fill="F5F5F5"/>
      </w:pPr>
      <w:r>
        <w:rPr>
          <w:rFonts w:ascii="Courier New" w:hAnsi="Courier New"/>
          <w:color w:val="404040"/>
          <w:sz w:val="16"/>
        </w:rPr>
        <w:t>IRB RWA = $8,081,250 &lt; Floor = $12,687,500</w:t>
      </w:r>
    </w:p>
    <w:p>
      <w:pPr>
        <w:shd w:fill="F5F5F5"/>
      </w:pPr>
      <w:r>
        <w:rPr>
          <w:rFonts w:ascii="Courier New" w:hAnsi="Courier New"/>
          <w:color w:val="404040"/>
          <w:sz w:val="16"/>
        </w:rPr>
        <w:t>→ SA Floor IS binding — IRB uplift = $4,606,250</w:t>
      </w:r>
    </w:p>
    <w:p>
      <w:pPr>
        <w:shd w:fill="F5F5F5"/>
      </w:pPr>
      <w:r>
        <w:rPr>
          <w:rFonts w:ascii="Courier New" w:hAnsi="Courier New"/>
          <w:color w:val="404040"/>
          <w:sz w:val="16"/>
        </w:rPr>
        <w:t>→ Effective RWA = $12,687,500   (floor-constrained)</w:t>
      </w:r>
    </w:p>
    <w:p>
      <w:pPr>
        <w:shd w:fill="F5F5F5"/>
      </w:pPr>
      <w:r>
        <w:rPr>
          <w:rFonts w:ascii="Courier New" w:hAnsi="Courier New"/>
          <w:color w:val="404040"/>
          <w:sz w:val="16"/>
        </w:rPr>
        <w:t>→ This illustrates why Basel IV significantly impacts retail mortgage books!</w:t>
      </w:r>
    </w:p>
    <w:p>
      <w:r>
        <w:rPr>
          <w:b/>
        </w:rPr>
        <w:t>Critical insight for the CRO:</w:t>
      </w:r>
      <w:r>
        <w:t xml:space="preserve"> The SA output floor (Basel IV) is most impactful for </w:t>
      </w:r>
      <w:r>
        <w:rPr>
          <w:b/>
        </w:rPr>
        <w:t>retail mortgages and other low-risk assets where IRB models generate far lower capital than the SA</w:t>
      </w:r>
      <w:r>
        <w:t>. Banks cannot simply argue their internal models justify 16% risk weights when the SA says 35% — the floor sets a binding minimum at 72.5% of SA.</w:t>
      </w:r>
    </w:p>
    <w:p>
      <w:pPr>
        <w:pStyle w:val="Heading2"/>
        <w:jc w:val="left"/>
      </w:pPr>
      <w:r>
        <w:t>Appendix E: Numeric Example — SME Corporate with CDS Double-Default</w:t>
      </w:r>
    </w:p>
    <w:p>
      <w:pPr>
        <w:pStyle w:val="Heading3"/>
        <w:jc w:val="left"/>
      </w:pPr>
      <w:r>
        <w:t>The Exposure</w:t>
      </w:r>
    </w:p>
    <w:p>
      <w:r>
        <w:t xml:space="preserve">&gt; </w:t>
      </w:r>
      <w:r>
        <w:rPr>
          <w:b/>
        </w:rPr>
        <w:t>Obligor:</w:t>
      </w:r>
      <w:r>
        <w:t xml:space="preserve"> UK SME manufacturer, annual sales = €20 million</w:t>
      </w:r>
    </w:p>
    <w:p>
      <w:r>
        <w:t xml:space="preserve">&gt; </w:t>
      </w:r>
      <w:r>
        <w:rPr>
          <w:b/>
        </w:rPr>
        <w:t>Asset Class:</w:t>
      </w:r>
      <w:r>
        <w:t xml:space="preserve"> CORP</w:t>
      </w:r>
    </w:p>
    <w:p>
      <w:r>
        <w:t xml:space="preserve">&gt; </w:t>
      </w:r>
      <w:r>
        <w:rPr>
          <w:b/>
        </w:rPr>
        <w:t>EAD:</w:t>
      </w:r>
      <w:r>
        <w:t xml:space="preserve"> USD 3,000,000</w:t>
      </w:r>
    </w:p>
    <w:p>
      <w:r>
        <w:t xml:space="preserve">&gt; </w:t>
      </w:r>
      <w:r>
        <w:rPr>
          <w:b/>
        </w:rPr>
        <w:t>PD_obligor:</w:t>
      </w:r>
      <w:r>
        <w:t xml:space="preserve"> 2.00% (BB-rated SME)</w:t>
      </w:r>
    </w:p>
    <w:p>
      <w:r>
        <w:t xml:space="preserve">&gt; </w:t>
      </w:r>
      <w:r>
        <w:rPr>
          <w:b/>
        </w:rPr>
        <w:t>LGD_obligor:</w:t>
      </w:r>
      <w:r>
        <w:t xml:space="preserve"> 45%</w:t>
      </w:r>
    </w:p>
    <w:p>
      <w:r>
        <w:t xml:space="preserve">&gt; </w:t>
      </w:r>
      <w:r>
        <w:rPr>
          <w:b/>
        </w:rPr>
        <w:t>Maturity:</w:t>
      </w:r>
      <w:r>
        <w:t xml:space="preserve"> 2 years</w:t>
      </w:r>
    </w:p>
    <w:p>
      <w:r>
        <w:t xml:space="preserve">&gt; </w:t>
      </w:r>
      <w:r>
        <w:rPr>
          <w:b/>
        </w:rPr>
        <w:t>CDS Protection:</w:t>
      </w:r>
      <w:r>
        <w:t xml:space="preserve"> 100% coverage from A-rated bank (PD_guarantor = 0.15%)</w:t>
      </w:r>
    </w:p>
    <w:p>
      <w:r>
        <w:t xml:space="preserve">&gt; </w:t>
      </w:r>
      <w:r>
        <w:rPr>
          <w:b/>
        </w:rPr>
        <w:t>CDS LGD:</w:t>
      </w:r>
      <w:r>
        <w:t xml:space="preserve"> 45%</w:t>
      </w:r>
    </w:p>
    <w:p>
      <w:pPr>
        <w:pStyle w:val="Heading3"/>
        <w:jc w:val="left"/>
      </w:pPr>
      <w:r>
        <w:t>Step 1: SME Correlation Adjustment</w:t>
      </w:r>
    </w:p>
    <w:p>
      <w:pPr>
        <w:shd w:fill="F5F5F5"/>
      </w:pPr>
      <w:r>
        <w:rPr>
          <w:rFonts w:ascii="Courier New" w:hAnsi="Courier New"/>
          <w:color w:val="404040"/>
          <w:sz w:val="16"/>
        </w:rPr>
        <w:t>Sales = €20M → S_mEUR = 20 (in range 5–50)</w:t>
      </w:r>
    </w:p>
    <w:p>
      <w:pPr>
        <w:shd w:fill="F5F5F5"/>
      </w:pPr>
      <w:r>
        <w:rPr>
          <w:rFonts w:ascii="Courier New" w:hAnsi="Courier New"/>
          <w:color w:val="404040"/>
          <w:sz w:val="16"/>
        </w:rPr>
        <w:t>R_base = 0.12 × (1 − exp(−1.0)) + 0.24 × (1 − …)</w:t>
      </w:r>
    </w:p>
    <w:p>
      <w:pPr>
        <w:shd w:fill="F5F5F5"/>
      </w:pPr>
      <w:r>
        <w:rPr>
          <w:rFonts w:ascii="Courier New" w:hAnsi="Courier New"/>
          <w:color w:val="404040"/>
          <w:sz w:val="16"/>
        </w:rPr>
        <w:t xml:space="preserve">       = 0.12 × 0.6321 + 0.24 × 0.3679</w:t>
      </w:r>
    </w:p>
    <w:p>
      <w:pPr>
        <w:shd w:fill="F5F5F5"/>
      </w:pPr>
      <w:r>
        <w:rPr>
          <w:rFonts w:ascii="Courier New" w:hAnsi="Courier New"/>
          <w:color w:val="404040"/>
          <w:sz w:val="16"/>
        </w:rPr>
        <w:t xml:space="preserve">       = 0.07585 + 0.08830</w:t>
      </w:r>
    </w:p>
    <w:p>
      <w:pPr>
        <w:shd w:fill="F5F5F5"/>
      </w:pPr>
      <w:r>
        <w:rPr>
          <w:rFonts w:ascii="Courier New" w:hAnsi="Courier New"/>
          <w:color w:val="404040"/>
          <w:sz w:val="16"/>
        </w:rPr>
        <w:t xml:space="preserve">       = 0.16415</w:t>
      </w:r>
    </w:p>
    <w:p>
      <w:pPr>
        <w:shd w:fill="F5F5F5"/>
      </w:pPr>
      <w:r>
        <w:rPr>
          <w:rFonts w:ascii="Courier New" w:hAnsi="Courier New"/>
          <w:color w:val="404040"/>
          <w:sz w:val="16"/>
        </w:rPr>
        <w:t>SME adjustment = −0.04 × (1 − (S − 5) / 45)</w:t>
      </w:r>
    </w:p>
    <w:p>
      <w:pPr>
        <w:shd w:fill="F5F5F5"/>
      </w:pPr>
      <w:r>
        <w:rPr>
          <w:rFonts w:ascii="Courier New" w:hAnsi="Courier New"/>
          <w:color w:val="404040"/>
          <w:sz w:val="16"/>
        </w:rPr>
        <w:t xml:space="preserve">               = −0.04 × (1 − (20 − 5) / 45)</w:t>
      </w:r>
    </w:p>
    <w:p>
      <w:pPr>
        <w:shd w:fill="F5F5F5"/>
      </w:pPr>
      <w:r>
        <w:rPr>
          <w:rFonts w:ascii="Courier New" w:hAnsi="Courier New"/>
          <w:color w:val="404040"/>
          <w:sz w:val="16"/>
        </w:rPr>
        <w:t xml:space="preserve">               = −0.04 × (1 − 0.3333)</w:t>
      </w:r>
    </w:p>
    <w:p>
      <w:pPr>
        <w:shd w:fill="F5F5F5"/>
      </w:pPr>
      <w:r>
        <w:rPr>
          <w:rFonts w:ascii="Courier New" w:hAnsi="Courier New"/>
          <w:color w:val="404040"/>
          <w:sz w:val="16"/>
        </w:rPr>
        <w:t xml:space="preserve">               = −0.04 × 0.6667</w:t>
      </w:r>
    </w:p>
    <w:p>
      <w:pPr>
        <w:shd w:fill="F5F5F5"/>
      </w:pPr>
      <w:r>
        <w:rPr>
          <w:rFonts w:ascii="Courier New" w:hAnsi="Courier New"/>
          <w:color w:val="404040"/>
          <w:sz w:val="16"/>
        </w:rPr>
        <w:t xml:space="preserve">               = −0.02667</w:t>
      </w:r>
    </w:p>
    <w:p>
      <w:pPr>
        <w:shd w:fill="F5F5F5"/>
      </w:pPr>
      <w:r>
        <w:rPr>
          <w:rFonts w:ascii="Courier New" w:hAnsi="Courier New"/>
          <w:color w:val="404040"/>
          <w:sz w:val="16"/>
        </w:rPr>
        <w:t>R_SME = 0.16415 − 0.02667 = 0.1375   (13.75%)</w:t>
      </w:r>
    </w:p>
    <w:p>
      <w:r>
        <w:rPr>
          <w:b/>
        </w:rPr>
        <w:t>SME benefit:</w:t>
      </w:r>
      <w:r>
        <w:t xml:space="preserve"> R reduced from 16.4% to 13.8% — less correlated with the economic cycle.</w:t>
      </w:r>
    </w:p>
    <w:p>
      <w:pPr>
        <w:pStyle w:val="Heading3"/>
        <w:jc w:val="left"/>
      </w:pPr>
      <w:r>
        <w:t>Step 2: Double-Default PD (CRE22.10)</w:t>
      </w:r>
    </w:p>
    <w:p>
      <w:pPr>
        <w:shd w:fill="F5F5F5"/>
      </w:pPr>
      <w:r>
        <w:rPr>
          <w:rFonts w:ascii="Courier New" w:hAnsi="Courier New"/>
          <w:color w:val="404040"/>
          <w:sz w:val="16"/>
        </w:rPr>
        <w:t>PD_dd = PD_obligor × (0.15 + 160 × PD_guarantor)</w:t>
      </w:r>
    </w:p>
    <w:p>
      <w:pPr>
        <w:shd w:fill="F5F5F5"/>
      </w:pPr>
      <w:r>
        <w:rPr>
          <w:rFonts w:ascii="Courier New" w:hAnsi="Courier New"/>
          <w:color w:val="404040"/>
          <w:sz w:val="16"/>
        </w:rPr>
        <w:t xml:space="preserve">       = 0.0200 × (0.15 + 160 × 0.0015)</w:t>
      </w:r>
    </w:p>
    <w:p>
      <w:pPr>
        <w:shd w:fill="F5F5F5"/>
      </w:pPr>
      <w:r>
        <w:rPr>
          <w:rFonts w:ascii="Courier New" w:hAnsi="Courier New"/>
          <w:color w:val="404040"/>
          <w:sz w:val="16"/>
        </w:rPr>
        <w:t xml:space="preserve">       = 0.0200 × (0.15 + 0.240)</w:t>
      </w:r>
    </w:p>
    <w:p>
      <w:pPr>
        <w:shd w:fill="F5F5F5"/>
      </w:pPr>
      <w:r>
        <w:rPr>
          <w:rFonts w:ascii="Courier New" w:hAnsi="Courier New"/>
          <w:color w:val="404040"/>
          <w:sz w:val="16"/>
        </w:rPr>
        <w:t xml:space="preserve">       = 0.0200 × 0.390</w:t>
      </w:r>
    </w:p>
    <w:p>
      <w:pPr>
        <w:shd w:fill="F5F5F5"/>
      </w:pPr>
      <w:r>
        <w:rPr>
          <w:rFonts w:ascii="Courier New" w:hAnsi="Courier New"/>
          <w:color w:val="404040"/>
          <w:sz w:val="16"/>
        </w:rPr>
        <w:t xml:space="preserve">       = 0.0078   (0.78%)</w:t>
      </w:r>
    </w:p>
    <w:p>
      <w:r>
        <w:rPr>
          <w:b/>
        </w:rPr>
        <w:t>Double-default benefit:</w:t>
      </w:r>
      <w:r>
        <w:t xml:space="preserve"> PD reduced from 2.00% to 0.78% — capital falls significantly.</w:t>
      </w:r>
    </w:p>
    <w:p>
      <w:pPr>
        <w:pStyle w:val="Heading3"/>
        <w:jc w:val="left"/>
      </w:pPr>
      <w:r>
        <w:t>Step 3: K with Double-Default</w:t>
      </w:r>
    </w:p>
    <w:p>
      <w:pPr>
        <w:shd w:fill="F5F5F5"/>
      </w:pPr>
      <w:r>
        <w:rPr>
          <w:rFonts w:ascii="Courier New" w:hAnsi="Courier New"/>
          <w:color w:val="404040"/>
          <w:sz w:val="16"/>
        </w:rPr>
        <w:t>PD_eff = 0.78%,  LGD_eff = 45%,  R = 0.1375,  M = 2yr</w:t>
      </w:r>
    </w:p>
    <w:p>
      <w:pPr>
        <w:shd w:fill="F5F5F5"/>
      </w:pPr>
      <w:r>
        <w:rPr>
          <w:rFonts w:ascii="Courier New" w:hAnsi="Courier New"/>
          <w:color w:val="404040"/>
          <w:sz w:val="16"/>
        </w:rPr>
        <w:t>b = (0.11852 − 0.05478 × ln(0.0078))²</w:t>
      </w:r>
    </w:p>
    <w:p>
      <w:pPr>
        <w:shd w:fill="F5F5F5"/>
      </w:pPr>
      <w:r>
        <w:rPr>
          <w:rFonts w:ascii="Courier New" w:hAnsi="Courier New"/>
          <w:color w:val="404040"/>
          <w:sz w:val="16"/>
        </w:rPr>
        <w:t xml:space="preserve">  = (0.11852 + 0.27077)²</w:t>
      </w:r>
    </w:p>
    <w:p>
      <w:pPr>
        <w:shd w:fill="F5F5F5"/>
      </w:pPr>
      <w:r>
        <w:rPr>
          <w:rFonts w:ascii="Courier New" w:hAnsi="Courier New"/>
          <w:color w:val="404040"/>
          <w:sz w:val="16"/>
        </w:rPr>
        <w:t xml:space="preserve">  = (0.38929)²</w:t>
      </w:r>
    </w:p>
    <w:p>
      <w:pPr>
        <w:shd w:fill="F5F5F5"/>
      </w:pPr>
      <w:r>
        <w:rPr>
          <w:rFonts w:ascii="Courier New" w:hAnsi="Courier New"/>
          <w:color w:val="404040"/>
          <w:sz w:val="16"/>
        </w:rPr>
        <w:t xml:space="preserve">  = 0.15155</w:t>
      </w:r>
    </w:p>
    <w:p>
      <w:pPr>
        <w:shd w:fill="F5F5F5"/>
      </w:pPr>
      <w:r>
        <w:rPr>
          <w:rFonts w:ascii="Courier New" w:hAnsi="Courier New"/>
          <w:color w:val="404040"/>
          <w:sz w:val="16"/>
        </w:rPr>
        <w:t>MA = (1 + (2.0 − 2.5) × 0.15155) / (1 − 1.5 × 0.15155)</w:t>
      </w:r>
    </w:p>
    <w:p>
      <w:pPr>
        <w:shd w:fill="F5F5F5"/>
      </w:pPr>
      <w:r>
        <w:rPr>
          <w:rFonts w:ascii="Courier New" w:hAnsi="Courier New"/>
          <w:color w:val="404040"/>
          <w:sz w:val="16"/>
        </w:rPr>
        <w:t xml:space="preserve">   = (1 − 0.07578) / (1 − 0.22733)</w:t>
      </w:r>
    </w:p>
    <w:p>
      <w:pPr>
        <w:shd w:fill="F5F5F5"/>
      </w:pPr>
      <w:r>
        <w:rPr>
          <w:rFonts w:ascii="Courier New" w:hAnsi="Courier New"/>
          <w:color w:val="404040"/>
          <w:sz w:val="16"/>
        </w:rPr>
        <w:t xml:space="preserve">   = 0.92422 / 0.77267</w:t>
      </w:r>
    </w:p>
    <w:p>
      <w:pPr>
        <w:shd w:fill="F5F5F5"/>
      </w:pPr>
      <w:r>
        <w:rPr>
          <w:rFonts w:ascii="Courier New" w:hAnsi="Courier New"/>
          <w:color w:val="404040"/>
          <w:sz w:val="16"/>
        </w:rPr>
        <w:t xml:space="preserve">   = 1.1961</w:t>
      </w:r>
    </w:p>
    <w:p>
      <w:pPr>
        <w:shd w:fill="F5F5F5"/>
      </w:pPr>
      <w:r>
        <w:rPr>
          <w:rFonts w:ascii="Courier New" w:hAnsi="Courier New"/>
          <w:color w:val="404040"/>
          <w:sz w:val="16"/>
        </w:rPr>
        <w:t>z = (N⁻¹(0.0078) + √0.1375 × 3.0902) / √0.8625</w:t>
      </w:r>
    </w:p>
    <w:p>
      <w:pPr>
        <w:shd w:fill="F5F5F5"/>
      </w:pPr>
      <w:r>
        <w:rPr>
          <w:rFonts w:ascii="Courier New" w:hAnsi="Courier New"/>
          <w:color w:val="404040"/>
          <w:sz w:val="16"/>
        </w:rPr>
        <w:t xml:space="preserve">  = (−2.4189 + 0.3708 × 3.0902) / 0.9288</w:t>
      </w:r>
    </w:p>
    <w:p>
      <w:pPr>
        <w:shd w:fill="F5F5F5"/>
      </w:pPr>
      <w:r>
        <w:rPr>
          <w:rFonts w:ascii="Courier New" w:hAnsi="Courier New"/>
          <w:color w:val="404040"/>
          <w:sz w:val="16"/>
        </w:rPr>
        <w:t xml:space="preserve">  = (−2.4189 + 1.1457) / 0.9288</w:t>
      </w:r>
    </w:p>
    <w:p>
      <w:pPr>
        <w:shd w:fill="F5F5F5"/>
      </w:pPr>
      <w:r>
        <w:rPr>
          <w:rFonts w:ascii="Courier New" w:hAnsi="Courier New"/>
          <w:color w:val="404040"/>
          <w:sz w:val="16"/>
        </w:rPr>
        <w:t xml:space="preserve">  = −1.2732 / 0.9288</w:t>
      </w:r>
    </w:p>
    <w:p>
      <w:pPr>
        <w:shd w:fill="F5F5F5"/>
      </w:pPr>
      <w:r>
        <w:rPr>
          <w:rFonts w:ascii="Courier New" w:hAnsi="Courier New"/>
          <w:color w:val="404040"/>
          <w:sz w:val="16"/>
        </w:rPr>
        <w:t xml:space="preserve">  = −1.3708</w:t>
      </w:r>
    </w:p>
    <w:p>
      <w:pPr>
        <w:shd w:fill="F5F5F5"/>
      </w:pPr>
      <w:r>
        <w:rPr>
          <w:rFonts w:ascii="Courier New" w:hAnsi="Courier New"/>
          <w:color w:val="404040"/>
          <w:sz w:val="16"/>
        </w:rPr>
        <w:t>N(z) = N(−1.3708) = 0.0852</w:t>
      </w:r>
    </w:p>
    <w:p>
      <w:pPr>
        <w:shd w:fill="F5F5F5"/>
      </w:pPr>
      <w:r>
        <w:rPr>
          <w:rFonts w:ascii="Courier New" w:hAnsi="Courier New"/>
          <w:color w:val="404040"/>
          <w:sz w:val="16"/>
        </w:rPr>
        <w:t>K_base = 0.45 × 0.0852 − 0.0078 × 0.45 = 0.03834 − 0.00351 = 0.03483</w:t>
      </w:r>
    </w:p>
    <w:p>
      <w:pPr>
        <w:shd w:fill="F5F5F5"/>
      </w:pPr>
      <w:r>
        <w:rPr>
          <w:rFonts w:ascii="Courier New" w:hAnsi="Courier New"/>
          <w:color w:val="404040"/>
          <w:sz w:val="16"/>
        </w:rPr>
        <w:t>K      = 0.03483 × 1.1961 = 0.04166   (4.17%)</w:t>
      </w:r>
    </w:p>
    <w:p>
      <w:pPr>
        <w:pStyle w:val="Heading3"/>
        <w:jc w:val="left"/>
      </w:pPr>
      <w:r>
        <w:t>Summary — Layered Capital Benefits</w:t>
      </w:r>
    </w:p>
    <w:p>
      <w:pPr>
        <w:shd w:fill="F5F5F5"/>
      </w:pPr>
      <w:r>
        <w:rPr>
          <w:rFonts w:ascii="Courier New" w:hAnsi="Courier New"/>
          <w:color w:val="404040"/>
          <w:sz w:val="16"/>
        </w:rPr>
        <w:t xml:space="preserve">                      Baseline    +SME Adj    +SME+CDS DD</w:t>
      </w:r>
    </w:p>
    <w:p>
      <w:pPr>
        <w:shd w:fill="F5F5F5"/>
      </w:pPr>
      <w:r>
        <w:rPr>
          <w:rFonts w:ascii="Courier New" w:hAnsi="Courier New"/>
          <w:color w:val="404040"/>
          <w:sz w:val="16"/>
        </w:rPr>
        <w:t>PD applied            2.00%       2.00%       0.78%</w:t>
      </w:r>
    </w:p>
    <w:p>
      <w:pPr>
        <w:shd w:fill="F5F5F5"/>
      </w:pPr>
      <w:r>
        <w:rPr>
          <w:rFonts w:ascii="Courier New" w:hAnsi="Courier New"/>
          <w:color w:val="404040"/>
          <w:sz w:val="16"/>
        </w:rPr>
        <w:t>R                     16.4%       13.75%      13.75%</w:t>
      </w:r>
    </w:p>
    <w:p>
      <w:pPr>
        <w:shd w:fill="F5F5F5"/>
      </w:pPr>
      <w:r>
        <w:rPr>
          <w:rFonts w:ascii="Courier New" w:hAnsi="Courier New"/>
          <w:color w:val="404040"/>
          <w:sz w:val="16"/>
        </w:rPr>
        <w:t>K                     8.59%       7.78%       4.17%</w:t>
      </w:r>
    </w:p>
    <w:p>
      <w:pPr>
        <w:shd w:fill="F5F5F5"/>
      </w:pPr>
      <w:r>
        <w:rPr>
          <w:rFonts w:ascii="Courier New" w:hAnsi="Courier New"/>
          <w:color w:val="404040"/>
          <w:sz w:val="16"/>
        </w:rPr>
        <w:t>RWA                   $3,221,250  $2,917,500  $1,563,750</w:t>
      </w:r>
    </w:p>
    <w:p>
      <w:pPr>
        <w:shd w:fill="F5F5F5"/>
      </w:pPr>
      <w:r>
        <w:rPr>
          <w:rFonts w:ascii="Courier New" w:hAnsi="Courier New"/>
          <w:color w:val="404040"/>
          <w:sz w:val="16"/>
        </w:rPr>
        <w:t>Risk Weight           107.4%      97.2%       52.1%</w:t>
      </w:r>
    </w:p>
    <w:p>
      <w:pPr>
        <w:shd w:fill="F5F5F5"/>
      </w:pPr>
      <w:r>
        <w:rPr>
          <w:rFonts w:ascii="Courier New" w:hAnsi="Courier New"/>
          <w:color w:val="404040"/>
          <w:sz w:val="16"/>
        </w:rPr>
        <w:t>Capital Saving        —           −$303,750   −$1,657,500</w:t>
      </w:r>
    </w:p>
    <w:p>
      <w:r>
        <w:rPr>
          <w:b/>
        </w:rPr>
        <w:t>Three capital levers on one trade:</w:t>
      </w:r>
    </w:p>
    <w:p>
      <w:pPr>
        <w:pStyle w:val="ListNumber"/>
      </w:pPr>
      <w:r>
        <w:t>SME sales volume reduction in R: −$303,750 RWA</w:t>
      </w:r>
    </w:p>
    <w:p>
      <w:pPr>
        <w:pStyle w:val="ListNumber"/>
      </w:pPr>
      <w:r>
        <w:t>CDS double-default PD: −$1,353,750 additional RWA</w:t>
      </w:r>
    </w:p>
    <w:p>
      <w:pPr>
        <w:pStyle w:val="ListNumber"/>
      </w:pPr>
      <w:r>
        <w:t>**Total saving vs. no-CRM baseline: −$1,657,500** (51.5% reduction)</w:t>
      </w:r>
    </w:p>
    <w:p>
      <w:pPr>
        <w:pStyle w:val="Heading2"/>
        <w:jc w:val="left"/>
      </w:pPr>
      <w:r>
        <w:t>Appendix F: Cross-Asset Comparison — All Asset Classes</w:t>
      </w:r>
    </w:p>
    <w:p>
      <w:pPr>
        <w:pStyle w:val="Heading3"/>
        <w:jc w:val="left"/>
      </w:pPr>
      <w:r>
        <w:t>F.1 Reference Portfolio — Seven Exposures, Same PD and LGD</w:t>
      </w:r>
    </w:p>
    <w:p>
      <w:r>
        <w:t xml:space="preserve">To isolate the effect of </w:t>
      </w:r>
      <w:r>
        <w:rPr>
          <w:b/>
        </w:rPr>
        <w:t>asset class and correlation</w:t>
      </w:r>
      <w:r>
        <w:t xml:space="preserve"> on capital, here is a clean comparison of USD 10M exposures, all with PD = 1.00%, LGD = 45%, M = 3 years: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Asset Class</w:t>
            </w:r>
          </w:p>
        </w:tc>
        <w:tc>
          <w:tcPr>
            <w:tcW w:type="dxa" w:w="1234"/>
          </w:tcPr>
          <w:p>
            <w:r>
              <w:rPr>
                <w:b/>
                <w:sz w:val="20"/>
              </w:rPr>
              <w:t>R</w:t>
            </w:r>
          </w:p>
        </w:tc>
        <w:tc>
          <w:tcPr>
            <w:tcW w:type="dxa" w:w="1234"/>
          </w:tcPr>
          <w:p>
            <w:r>
              <w:rPr>
                <w:b/>
                <w:sz w:val="20"/>
              </w:rPr>
              <w:t>b</w:t>
            </w:r>
          </w:p>
        </w:tc>
        <w:tc>
          <w:tcPr>
            <w:tcW w:type="dxa" w:w="1234"/>
          </w:tcPr>
          <w:p>
            <w:r>
              <w:rPr>
                <w:b/>
                <w:sz w:val="20"/>
              </w:rPr>
              <w:t>MA</w:t>
            </w:r>
          </w:p>
        </w:tc>
        <w:tc>
          <w:tcPr>
            <w:tcW w:type="dxa" w:w="1234"/>
          </w:tcPr>
          <w:p>
            <w:r>
              <w:rPr>
                <w:b/>
                <w:sz w:val="20"/>
              </w:rPr>
              <w:t>K</w:t>
            </w:r>
          </w:p>
        </w:tc>
        <w:tc>
          <w:tcPr>
            <w:tcW w:type="dxa" w:w="1234"/>
          </w:tcPr>
          <w:p>
            <w:r>
              <w:rPr>
                <w:b/>
                <w:sz w:val="20"/>
              </w:rPr>
              <w:t>RWA</w:t>
            </w:r>
          </w:p>
        </w:tc>
        <w:tc>
          <w:tcPr>
            <w:tcW w:type="dxa" w:w="1234"/>
          </w:tcPr>
          <w:p>
            <w:r>
              <w:rPr>
                <w:b/>
                <w:sz w:val="20"/>
              </w:rPr>
              <w:t>Risk Weight</w:t>
            </w:r>
          </w:p>
        </w:tc>
      </w:tr>
      <w:tr>
        <w:tc>
          <w:tcPr>
            <w:tcW w:type="dxa" w:w="1234"/>
          </w:tcPr>
          <w:p>
            <w:r>
              <w:t>SOVEREIGN</w:t>
            </w:r>
          </w:p>
        </w:tc>
        <w:tc>
          <w:tcPr>
            <w:tcW w:type="dxa" w:w="1234"/>
          </w:tcPr>
          <w:p>
            <w:r>
              <w:t>19.3%</w:t>
            </w:r>
          </w:p>
        </w:tc>
        <w:tc>
          <w:tcPr>
            <w:tcW w:type="dxa" w:w="1234"/>
          </w:tcPr>
          <w:p>
            <w:r>
              <w:t>0.13746</w:t>
            </w:r>
          </w:p>
        </w:tc>
        <w:tc>
          <w:tcPr>
            <w:tcW w:type="dxa" w:w="1234"/>
          </w:tcPr>
          <w:p>
            <w:r>
              <w:t>1.693</w:t>
            </w:r>
          </w:p>
        </w:tc>
        <w:tc>
          <w:tcPr>
            <w:tcW w:type="dxa" w:w="1234"/>
          </w:tcPr>
          <w:p>
            <w:r>
              <w:t>7.28%</w:t>
            </w:r>
          </w:p>
        </w:tc>
        <w:tc>
          <w:tcPr>
            <w:tcW w:type="dxa" w:w="1234"/>
          </w:tcPr>
          <w:p>
            <w:r>
              <w:t>$9,099,000</w:t>
            </w:r>
          </w:p>
        </w:tc>
        <w:tc>
          <w:tcPr>
            <w:tcW w:type="dxa" w:w="1234"/>
          </w:tcPr>
          <w:p>
            <w:r>
              <w:t>91.0%</w:t>
            </w:r>
          </w:p>
        </w:tc>
      </w:tr>
      <w:tr>
        <w:tc>
          <w:tcPr>
            <w:tcW w:type="dxa" w:w="1234"/>
          </w:tcPr>
          <w:p>
            <w:r>
              <w:t>**CORP**</w:t>
            </w:r>
          </w:p>
        </w:tc>
        <w:tc>
          <w:tcPr>
            <w:tcW w:type="dxa" w:w="1234"/>
          </w:tcPr>
          <w:p>
            <w:r>
              <w:t>**19.3%**</w:t>
            </w:r>
          </w:p>
        </w:tc>
        <w:tc>
          <w:tcPr>
            <w:tcW w:type="dxa" w:w="1234"/>
          </w:tcPr>
          <w:p>
            <w:r>
              <w:t>0.13746</w:t>
            </w:r>
          </w:p>
        </w:tc>
        <w:tc>
          <w:tcPr>
            <w:tcW w:type="dxa" w:w="1234"/>
          </w:tcPr>
          <w:p>
            <w:r>
              <w:t>1.693</w:t>
            </w:r>
          </w:p>
        </w:tc>
        <w:tc>
          <w:tcPr>
            <w:tcW w:type="dxa" w:w="1234"/>
          </w:tcPr>
          <w:p>
            <w:r>
              <w:t>**7.28%**</w:t>
            </w:r>
          </w:p>
        </w:tc>
        <w:tc>
          <w:tcPr>
            <w:tcW w:type="dxa" w:w="1234"/>
          </w:tcPr>
          <w:p>
            <w:r>
              <w:t>**$9,099,000**</w:t>
            </w:r>
          </w:p>
        </w:tc>
        <w:tc>
          <w:tcPr>
            <w:tcW w:type="dxa" w:w="1234"/>
          </w:tcPr>
          <w:p>
            <w:r>
              <w:t>**91.0%**</w:t>
            </w:r>
          </w:p>
        </w:tc>
      </w:tr>
      <w:tr>
        <w:tc>
          <w:tcPr>
            <w:tcW w:type="dxa" w:w="1234"/>
          </w:tcPr>
          <w:p>
            <w:r>
              <w:t>BANK (standard)</w:t>
            </w:r>
          </w:p>
        </w:tc>
        <w:tc>
          <w:tcPr>
            <w:tcW w:type="dxa" w:w="1234"/>
          </w:tcPr>
          <w:p>
            <w:r>
              <w:t>19.3%</w:t>
            </w:r>
          </w:p>
        </w:tc>
        <w:tc>
          <w:tcPr>
            <w:tcW w:type="dxa" w:w="1234"/>
          </w:tcPr>
          <w:p>
            <w:r>
              <w:t>0.13746</w:t>
            </w:r>
          </w:p>
        </w:tc>
        <w:tc>
          <w:tcPr>
            <w:tcW w:type="dxa" w:w="1234"/>
          </w:tcPr>
          <w:p>
            <w:r>
              <w:t>1.693</w:t>
            </w:r>
          </w:p>
        </w:tc>
        <w:tc>
          <w:tcPr>
            <w:tcW w:type="dxa" w:w="1234"/>
          </w:tcPr>
          <w:p>
            <w:r>
              <w:t>7.28%</w:t>
            </w:r>
          </w:p>
        </w:tc>
        <w:tc>
          <w:tcPr>
            <w:tcW w:type="dxa" w:w="1234"/>
          </w:tcPr>
          <w:p>
            <w:r>
              <w:t>$9,099,000</w:t>
            </w:r>
          </w:p>
        </w:tc>
        <w:tc>
          <w:tcPr>
            <w:tcW w:type="dxa" w:w="1234"/>
          </w:tcPr>
          <w:p>
            <w:r>
              <w:t>91.0%</w:t>
            </w:r>
          </w:p>
        </w:tc>
      </w:tr>
      <w:tr>
        <w:tc>
          <w:tcPr>
            <w:tcW w:type="dxa" w:w="1234"/>
          </w:tcPr>
          <w:p>
            <w:r>
              <w:t>BANK (large FI ×1.25)</w:t>
            </w:r>
          </w:p>
        </w:tc>
        <w:tc>
          <w:tcPr>
            <w:tcW w:type="dxa" w:w="1234"/>
          </w:tcPr>
          <w:p>
            <w:r>
              <w:t>24.1%</w:t>
            </w:r>
          </w:p>
        </w:tc>
        <w:tc>
          <w:tcPr>
            <w:tcW w:type="dxa" w:w="1234"/>
          </w:tcPr>
          <w:p>
            <w:r>
              <w:t>0.13746</w:t>
            </w:r>
          </w:p>
        </w:tc>
        <w:tc>
          <w:tcPr>
            <w:tcW w:type="dxa" w:w="1234"/>
          </w:tcPr>
          <w:p>
            <w:r>
              <w:t>1.693</w:t>
            </w:r>
          </w:p>
        </w:tc>
        <w:tc>
          <w:tcPr>
            <w:tcW w:type="dxa" w:w="1234"/>
          </w:tcPr>
          <w:p>
            <w:r>
              <w:t>8.47%</w:t>
            </w:r>
          </w:p>
        </w:tc>
        <w:tc>
          <w:tcPr>
            <w:tcW w:type="dxa" w:w="1234"/>
          </w:tcPr>
          <w:p>
            <w:r>
              <w:t>$10,587,500</w:t>
            </w:r>
          </w:p>
        </w:tc>
        <w:tc>
          <w:tcPr>
            <w:tcW w:type="dxa" w:w="1234"/>
          </w:tcPr>
          <w:p>
            <w:r>
              <w:t>105.9%</w:t>
            </w:r>
          </w:p>
        </w:tc>
      </w:tr>
      <w:tr>
        <w:tc>
          <w:tcPr>
            <w:tcW w:type="dxa" w:w="1234"/>
          </w:tcPr>
          <w:p>
            <w:r>
              <w:t>HVCRE</w:t>
            </w:r>
          </w:p>
        </w:tc>
        <w:tc>
          <w:tcPr>
            <w:tcW w:type="dxa" w:w="1234"/>
          </w:tcPr>
          <w:p>
            <w:r>
              <w:t>22.0%</w:t>
            </w:r>
          </w:p>
        </w:tc>
        <w:tc>
          <w:tcPr>
            <w:tcW w:type="dxa" w:w="1234"/>
          </w:tcPr>
          <w:p>
            <w:r>
              <w:t>0.13746</w:t>
            </w:r>
          </w:p>
        </w:tc>
        <w:tc>
          <w:tcPr>
            <w:tcW w:type="dxa" w:w="1234"/>
          </w:tcPr>
          <w:p>
            <w:r>
              <w:t>1.693</w:t>
            </w:r>
          </w:p>
        </w:tc>
        <w:tc>
          <w:tcPr>
            <w:tcW w:type="dxa" w:w="1234"/>
          </w:tcPr>
          <w:p>
            <w:r>
              <w:t>8.02%</w:t>
            </w:r>
          </w:p>
        </w:tc>
        <w:tc>
          <w:tcPr>
            <w:tcW w:type="dxa" w:w="1234"/>
          </w:tcPr>
          <w:p>
            <w:r>
              <w:t>$10,025,000</w:t>
            </w:r>
          </w:p>
        </w:tc>
        <w:tc>
          <w:tcPr>
            <w:tcW w:type="dxa" w:w="1234"/>
          </w:tcPr>
          <w:p>
            <w:r>
              <w:t>100.3%</w:t>
            </w:r>
          </w:p>
        </w:tc>
      </w:tr>
      <w:tr>
        <w:tc>
          <w:tcPr>
            <w:tcW w:type="dxa" w:w="1234"/>
          </w:tcPr>
          <w:p>
            <w:r>
              <w:t>RETAIL_MORT</w:t>
            </w:r>
          </w:p>
        </w:tc>
        <w:tc>
          <w:tcPr>
            <w:tcW w:type="dxa" w:w="1234"/>
          </w:tcPr>
          <w:p>
            <w:r>
              <w:t>15.0%</w:t>
            </w:r>
          </w:p>
        </w:tc>
        <w:tc>
          <w:tcPr>
            <w:tcW w:type="dxa" w:w="1234"/>
          </w:tcPr>
          <w:p>
            <w:r>
              <w:t>0</w:t>
            </w:r>
          </w:p>
        </w:tc>
        <w:tc>
          <w:tcPr>
            <w:tcW w:type="dxa" w:w="1234"/>
          </w:tcPr>
          <w:p>
            <w:r>
              <w:t>1.0</w:t>
            </w:r>
          </w:p>
        </w:tc>
        <w:tc>
          <w:tcPr>
            <w:tcW w:type="dxa" w:w="1234"/>
          </w:tcPr>
          <w:p>
            <w:r>
              <w:t>4.08%</w:t>
            </w:r>
          </w:p>
        </w:tc>
        <w:tc>
          <w:tcPr>
            <w:tcW w:type="dxa" w:w="1234"/>
          </w:tcPr>
          <w:p>
            <w:r>
              <w:t>$5,100,000</w:t>
            </w:r>
          </w:p>
        </w:tc>
        <w:tc>
          <w:tcPr>
            <w:tcW w:type="dxa" w:w="1234"/>
          </w:tcPr>
          <w:p>
            <w:r>
              <w:t>51.0%</w:t>
            </w:r>
          </w:p>
        </w:tc>
      </w:tr>
      <w:tr>
        <w:tc>
          <w:tcPr>
            <w:tcW w:type="dxa" w:w="1234"/>
          </w:tcPr>
          <w:p>
            <w:r>
              <w:t>RETAIL_REV</w:t>
            </w:r>
          </w:p>
        </w:tc>
        <w:tc>
          <w:tcPr>
            <w:tcW w:type="dxa" w:w="1234"/>
          </w:tcPr>
          <w:p>
            <w:r>
              <w:t>4.0%</w:t>
            </w:r>
          </w:p>
        </w:tc>
        <w:tc>
          <w:tcPr>
            <w:tcW w:type="dxa" w:w="1234"/>
          </w:tcPr>
          <w:p>
            <w:r>
              <w:t>0</w:t>
            </w:r>
          </w:p>
        </w:tc>
        <w:tc>
          <w:tcPr>
            <w:tcW w:type="dxa" w:w="1234"/>
          </w:tcPr>
          <w:p>
            <w:r>
              <w:t>1.0</w:t>
            </w:r>
          </w:p>
        </w:tc>
        <w:tc>
          <w:tcPr>
            <w:tcW w:type="dxa" w:w="1234"/>
          </w:tcPr>
          <w:p>
            <w:r>
              <w:t>1.82%</w:t>
            </w:r>
          </w:p>
        </w:tc>
        <w:tc>
          <w:tcPr>
            <w:tcW w:type="dxa" w:w="1234"/>
          </w:tcPr>
          <w:p>
            <w:r>
              <w:t>$2,275,000</w:t>
            </w:r>
          </w:p>
        </w:tc>
        <w:tc>
          <w:tcPr>
            <w:tcW w:type="dxa" w:w="1234"/>
          </w:tcPr>
          <w:p>
            <w:r>
              <w:t>22.8%</w:t>
            </w:r>
          </w:p>
        </w:tc>
      </w:tr>
      <w:tr>
        <w:tc>
          <w:tcPr>
            <w:tcW w:type="dxa" w:w="1234"/>
          </w:tcPr>
          <w:p>
            <w:r>
              <w:t>RETAIL_OTHER</w:t>
            </w:r>
          </w:p>
        </w:tc>
        <w:tc>
          <w:tcPr>
            <w:tcW w:type="dxa" w:w="1234"/>
          </w:tcPr>
          <w:p>
            <w:r>
              <w:t>12.0%</w:t>
            </w:r>
          </w:p>
        </w:tc>
        <w:tc>
          <w:tcPr>
            <w:tcW w:type="dxa" w:w="1234"/>
          </w:tcPr>
          <w:p>
            <w:r>
              <w:t>0</w:t>
            </w:r>
          </w:p>
        </w:tc>
        <w:tc>
          <w:tcPr>
            <w:tcW w:type="dxa" w:w="1234"/>
          </w:tcPr>
          <w:p>
            <w:r>
              <w:t>1.0</w:t>
            </w:r>
          </w:p>
        </w:tc>
        <w:tc>
          <w:tcPr>
            <w:tcW w:type="dxa" w:w="1234"/>
          </w:tcPr>
          <w:p>
            <w:r>
              <w:t>3.41%</w:t>
            </w:r>
          </w:p>
        </w:tc>
        <w:tc>
          <w:tcPr>
            <w:tcW w:type="dxa" w:w="1234"/>
          </w:tcPr>
          <w:p>
            <w:r>
              <w:t>$4,262,500</w:t>
            </w:r>
          </w:p>
        </w:tc>
        <w:tc>
          <w:tcPr>
            <w:tcW w:type="dxa" w:w="1234"/>
          </w:tcPr>
          <w:p>
            <w:r>
              <w:t>42.6%</w:t>
            </w:r>
          </w:p>
        </w:tc>
      </w:tr>
    </w:tbl>
    <w:p>
      <w:r>
        <w:rPr>
          <w:b/>
        </w:rPr>
        <w:t>Key observations:</w:t>
      </w:r>
    </w:p>
    <w:p>
      <w:pPr>
        <w:pStyle w:val="ListNumber"/>
      </w:pPr>
      <w:r>
        <w:t>**RETAIL_REV (revolving credit)** has the lowest risk weight (22.8%) despite the same PD — the 4% fixed correlation reflects that consumer card defaults are largely idiosyncratic</w:t>
      </w:r>
    </w:p>
    <w:p>
      <w:pPr>
        <w:pStyle w:val="ListNumber"/>
      </w:pPr>
      <w:r>
        <w:t>**BANK (large FI)** has the highest risk weight (105.9%) — the 1.25× multiplier for financial interconnectedness adds a meaningful premium</w:t>
      </w:r>
    </w:p>
    <w:p>
      <w:pPr>
        <w:pStyle w:val="ListNumber"/>
      </w:pPr>
      <w:r>
        <w:t>**RETAIL_MORT** benefits from both fixed R=15% and the absence of a maturity adjustment</w:t>
      </w:r>
    </w:p>
    <w:p>
      <w:pPr>
        <w:pStyle w:val="ListNumber"/>
      </w:pPr>
      <w:r>
        <w:t>For CORP/BANK/SOV, R and K are identical at this PD level — the asset class distinction matters most at the margins (FI multiplier, HVCRE cap)</w:t>
      </w:r>
    </w:p>
    <w:p>
      <w:pPr>
        <w:pStyle w:val="Heading3"/>
        <w:jc w:val="left"/>
      </w:pPr>
      <w:r>
        <w:t>F.2 The Effect of Maturity</w:t>
      </w:r>
    </w:p>
    <w:p>
      <w:r>
        <w:t>Same exposure (CORP, PD=1%, LGD=45%), varying maturity: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Maturity</w:t>
            </w:r>
          </w:p>
        </w:tc>
        <w:tc>
          <w:tcPr>
            <w:tcW w:type="dxa" w:w="1728"/>
          </w:tcPr>
          <w:p>
            <w:r>
              <w:rPr>
                <w:b/>
                <w:sz w:val="20"/>
              </w:rPr>
              <w:t>MA</w:t>
            </w:r>
          </w:p>
        </w:tc>
        <w:tc>
          <w:tcPr>
            <w:tcW w:type="dxa" w:w="1728"/>
          </w:tcPr>
          <w:p>
            <w:r>
              <w:rPr>
                <w:b/>
                <w:sz w:val="20"/>
              </w:rPr>
              <w:t>K</w:t>
            </w:r>
          </w:p>
        </w:tc>
        <w:tc>
          <w:tcPr>
            <w:tcW w:type="dxa" w:w="1728"/>
          </w:tcPr>
          <w:p>
            <w:r>
              <w:rPr>
                <w:b/>
                <w:sz w:val="20"/>
              </w:rPr>
              <w:t>RWA</w:t>
            </w:r>
          </w:p>
        </w:tc>
        <w:tc>
          <w:tcPr>
            <w:tcW w:type="dxa" w:w="1728"/>
          </w:tcPr>
          <w:p>
            <w:r>
              <w:rPr>
                <w:b/>
                <w:sz w:val="20"/>
              </w:rPr>
              <w:t>Capital vs. 1yr</w:t>
            </w:r>
          </w:p>
        </w:tc>
      </w:tr>
      <w:tr>
        <w:tc>
          <w:tcPr>
            <w:tcW w:type="dxa" w:w="1728"/>
          </w:tcPr>
          <w:p>
            <w:r>
              <w:t>1 year</w:t>
            </w:r>
          </w:p>
        </w:tc>
        <w:tc>
          <w:tcPr>
            <w:tcW w:type="dxa" w:w="1728"/>
          </w:tcPr>
          <w:p>
            <w:r>
              <w:t>0.9140</w:t>
            </w:r>
          </w:p>
        </w:tc>
        <w:tc>
          <w:tcPr>
            <w:tcW w:type="dxa" w:w="1728"/>
          </w:tcPr>
          <w:p>
            <w:r>
              <w:t>4.60%</w:t>
            </w:r>
          </w:p>
        </w:tc>
        <w:tc>
          <w:tcPr>
            <w:tcW w:type="dxa" w:w="1728"/>
          </w:tcPr>
          <w:p>
            <w:r>
              <w:t>$5,750,000</w:t>
            </w:r>
          </w:p>
        </w:tc>
        <w:tc>
          <w:tcPr>
            <w:tcW w:type="dxa" w:w="1728"/>
          </w:tcPr>
          <w:p>
            <w:r>
              <w:t>—</w:t>
            </w:r>
          </w:p>
        </w:tc>
      </w:tr>
      <w:tr>
        <w:tc>
          <w:tcPr>
            <w:tcW w:type="dxa" w:w="1728"/>
          </w:tcPr>
          <w:p>
            <w:r>
              <w:t>2 years</w:t>
            </w:r>
          </w:p>
        </w:tc>
        <w:tc>
          <w:tcPr>
            <w:tcW w:type="dxa" w:w="1728"/>
          </w:tcPr>
          <w:p>
            <w:r>
              <w:t>1.0570</w:t>
            </w:r>
          </w:p>
        </w:tc>
        <w:tc>
          <w:tcPr>
            <w:tcW w:type="dxa" w:w="1728"/>
          </w:tcPr>
          <w:p>
            <w:r>
              <w:t>5.32%</w:t>
            </w:r>
          </w:p>
        </w:tc>
        <w:tc>
          <w:tcPr>
            <w:tcW w:type="dxa" w:w="1728"/>
          </w:tcPr>
          <w:p>
            <w:r>
              <w:t>$6,650,000</w:t>
            </w:r>
          </w:p>
        </w:tc>
        <w:tc>
          <w:tcPr>
            <w:tcW w:type="dxa" w:w="1728"/>
          </w:tcPr>
          <w:p>
            <w:r>
              <w:t>+$900,000 (+15.7%)</w:t>
            </w:r>
          </w:p>
        </w:tc>
      </w:tr>
      <w:tr>
        <w:tc>
          <w:tcPr>
            <w:tcW w:type="dxa" w:w="1728"/>
          </w:tcPr>
          <w:p>
            <w:r>
              <w:t>**3 years (reference)**</w:t>
            </w:r>
          </w:p>
        </w:tc>
        <w:tc>
          <w:tcPr>
            <w:tcW w:type="dxa" w:w="1728"/>
          </w:tcPr>
          <w:p>
            <w:r>
              <w:t>**1.6929**</w:t>
            </w:r>
          </w:p>
        </w:tc>
        <w:tc>
          <w:tcPr>
            <w:tcW w:type="dxa" w:w="1728"/>
          </w:tcPr>
          <w:p>
            <w:r>
              <w:t>**7.28%**</w:t>
            </w:r>
          </w:p>
        </w:tc>
        <w:tc>
          <w:tcPr>
            <w:tcW w:type="dxa" w:w="1728"/>
          </w:tcPr>
          <w:p>
            <w:r>
              <w:t>**$9,099,000**</w:t>
            </w:r>
          </w:p>
        </w:tc>
        <w:tc>
          <w:tcPr>
            <w:tcW w:type="dxa" w:w="1728"/>
          </w:tcPr>
          <w:p>
            <w:r>
              <w:t>+$3,349,000 (+58.2%)</w:t>
            </w:r>
          </w:p>
        </w:tc>
      </w:tr>
      <w:tr>
        <w:tc>
          <w:tcPr>
            <w:tcW w:type="dxa" w:w="1728"/>
          </w:tcPr>
          <w:p>
            <w:r>
              <w:t>4 years</w:t>
            </w:r>
          </w:p>
        </w:tc>
        <w:tc>
          <w:tcPr>
            <w:tcW w:type="dxa" w:w="1728"/>
          </w:tcPr>
          <w:p>
            <w:r>
              <w:t>1.3766</w:t>
            </w:r>
          </w:p>
        </w:tc>
        <w:tc>
          <w:tcPr>
            <w:tcW w:type="dxa" w:w="1728"/>
          </w:tcPr>
          <w:p>
            <w:r>
              <w:t>6.93%</w:t>
            </w:r>
          </w:p>
        </w:tc>
        <w:tc>
          <w:tcPr>
            <w:tcW w:type="dxa" w:w="1728"/>
          </w:tcPr>
          <w:p>
            <w:r>
              <w:t>$8,662,500</w:t>
            </w:r>
          </w:p>
        </w:tc>
        <w:tc>
          <w:tcPr>
            <w:tcW w:type="dxa" w:w="1728"/>
          </w:tcPr>
          <w:p>
            <w:r>
              <w:t>+$2,912,500 (+50.7%)</w:t>
            </w:r>
          </w:p>
        </w:tc>
      </w:tr>
      <w:tr>
        <w:tc>
          <w:tcPr>
            <w:tcW w:type="dxa" w:w="1728"/>
          </w:tcPr>
          <w:p>
            <w:r>
              <w:t>5 years</w:t>
            </w:r>
          </w:p>
        </w:tc>
        <w:tc>
          <w:tcPr>
            <w:tcW w:type="dxa" w:w="1728"/>
          </w:tcPr>
          <w:p>
            <w:r>
              <w:t>1.6929</w:t>
            </w:r>
          </w:p>
        </w:tc>
        <w:tc>
          <w:tcPr>
            <w:tcW w:type="dxa" w:w="1728"/>
          </w:tcPr>
          <w:p>
            <w:r>
              <w:t>8.52%</w:t>
            </w:r>
          </w:p>
        </w:tc>
        <w:tc>
          <w:tcPr>
            <w:tcW w:type="dxa" w:w="1728"/>
          </w:tcPr>
          <w:p>
            <w:r>
              <w:t>$10,650,000</w:t>
            </w:r>
          </w:p>
        </w:tc>
        <w:tc>
          <w:tcPr>
            <w:tcW w:type="dxa" w:w="1728"/>
          </w:tcPr>
          <w:p>
            <w:r>
              <w:t>+$4,900,000 (+85.2%)</w:t>
            </w:r>
          </w:p>
        </w:tc>
      </w:tr>
    </w:tbl>
    <w:p>
      <w:r>
        <w:rPr>
          <w:b/>
        </w:rPr>
        <w:t>CRO observation:</w:t>
      </w:r>
      <w:r>
        <w:t xml:space="preserve"> A 5-year term loan requires 85% more capital than a 1-year revolving facility to the same borrower at the same PD and LGD. Structuring long-dated credit as revolvers (M capped at 1 year if annually reviewed) can be a significant capital management tool — subject to legal substance.</w:t>
      </w:r>
    </w:p>
    <w:p>
      <w:pPr>
        <w:pStyle w:val="Heading3"/>
        <w:jc w:val="left"/>
      </w:pPr>
      <w:r>
        <w:t>F.3 The Effect of PD — Capital Non-Linearity</w:t>
      </w:r>
    </w:p>
    <w:p>
      <w:r>
        <w:t>Same exposure (CORP, LGD=45%, M=3yr), varying PD: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Rating</w:t>
            </w:r>
          </w:p>
        </w:tc>
        <w:tc>
          <w:tcPr>
            <w:tcW w:type="dxa" w:w="1440"/>
          </w:tcPr>
          <w:p>
            <w:r>
              <w:rPr>
                <w:b/>
                <w:sz w:val="20"/>
              </w:rPr>
              <w:t>PD</w:t>
            </w:r>
          </w:p>
        </w:tc>
        <w:tc>
          <w:tcPr>
            <w:tcW w:type="dxa" w:w="1440"/>
          </w:tcPr>
          <w:p>
            <w:r>
              <w:rPr>
                <w:b/>
                <w:sz w:val="20"/>
              </w:rPr>
              <w:t>R</w:t>
            </w:r>
          </w:p>
        </w:tc>
        <w:tc>
          <w:tcPr>
            <w:tcW w:type="dxa" w:w="1440"/>
          </w:tcPr>
          <w:p>
            <w:r>
              <w:rPr>
                <w:b/>
                <w:sz w:val="20"/>
              </w:rPr>
              <w:t>K</w:t>
            </w:r>
          </w:p>
        </w:tc>
        <w:tc>
          <w:tcPr>
            <w:tcW w:type="dxa" w:w="1440"/>
          </w:tcPr>
          <w:p>
            <w:r>
              <w:rPr>
                <w:b/>
                <w:sz w:val="20"/>
              </w:rPr>
              <w:t>Risk Weight</w:t>
            </w:r>
          </w:p>
        </w:tc>
        <w:tc>
          <w:tcPr>
            <w:tcW w:type="dxa" w:w="1440"/>
          </w:tcPr>
          <w:p>
            <w:r>
              <w:rPr>
                <w:b/>
                <w:sz w:val="20"/>
              </w:rPr>
              <w:t>EL</w:t>
            </w:r>
          </w:p>
        </w:tc>
      </w:tr>
      <w:tr>
        <w:tc>
          <w:tcPr>
            <w:tcW w:type="dxa" w:w="1440"/>
          </w:tcPr>
          <w:p>
            <w:r>
              <w:t>AAA</w:t>
            </w:r>
          </w:p>
        </w:tc>
        <w:tc>
          <w:tcPr>
            <w:tcW w:type="dxa" w:w="1440"/>
          </w:tcPr>
          <w:p>
            <w:r>
              <w:t>0.03% (floor)</w:t>
            </w:r>
          </w:p>
        </w:tc>
        <w:tc>
          <w:tcPr>
            <w:tcW w:type="dxa" w:w="1440"/>
          </w:tcPr>
          <w:p>
            <w:r>
              <w:t>23.9%</w:t>
            </w:r>
          </w:p>
        </w:tc>
        <w:tc>
          <w:tcPr>
            <w:tcW w:type="dxa" w:w="1440"/>
          </w:tcPr>
          <w:p>
            <w:r>
              <w:t>2.89%</w:t>
            </w:r>
          </w:p>
        </w:tc>
        <w:tc>
          <w:tcPr>
            <w:tcW w:type="dxa" w:w="1440"/>
          </w:tcPr>
          <w:p>
            <w:r>
              <w:t>36.2%</w:t>
            </w:r>
          </w:p>
        </w:tc>
        <w:tc>
          <w:tcPr>
            <w:tcW w:type="dxa" w:w="1440"/>
          </w:tcPr>
          <w:p>
            <w:r>
              <w:t>$1,350</w:t>
            </w:r>
          </w:p>
        </w:tc>
      </w:tr>
      <w:tr>
        <w:tc>
          <w:tcPr>
            <w:tcW w:type="dxa" w:w="1440"/>
          </w:tcPr>
          <w:p>
            <w:r>
              <w:t>AA</w:t>
            </w:r>
          </w:p>
        </w:tc>
        <w:tc>
          <w:tcPr>
            <w:tcW w:type="dxa" w:w="1440"/>
          </w:tcPr>
          <w:p>
            <w:r>
              <w:t>0.05%</w:t>
            </w:r>
          </w:p>
        </w:tc>
        <w:tc>
          <w:tcPr>
            <w:tcW w:type="dxa" w:w="1440"/>
          </w:tcPr>
          <w:p>
            <w:r>
              <w:t>23.7%</w:t>
            </w:r>
          </w:p>
        </w:tc>
        <w:tc>
          <w:tcPr>
            <w:tcW w:type="dxa" w:w="1440"/>
          </w:tcPr>
          <w:p>
            <w:r>
              <w:t>3.66%</w:t>
            </w:r>
          </w:p>
        </w:tc>
        <w:tc>
          <w:tcPr>
            <w:tcW w:type="dxa" w:w="1440"/>
          </w:tcPr>
          <w:p>
            <w:r>
              <w:t>45.8%</w:t>
            </w:r>
          </w:p>
        </w:tc>
        <w:tc>
          <w:tcPr>
            <w:tcW w:type="dxa" w:w="1440"/>
          </w:tcPr>
          <w:p>
            <w:r>
              <w:t>$2,250</w:t>
            </w:r>
          </w:p>
        </w:tc>
      </w:tr>
      <w:tr>
        <w:tc>
          <w:tcPr>
            <w:tcW w:type="dxa" w:w="1440"/>
          </w:tcPr>
          <w:p>
            <w:r>
              <w:t>A</w:t>
            </w:r>
          </w:p>
        </w:tc>
        <w:tc>
          <w:tcPr>
            <w:tcW w:type="dxa" w:w="1440"/>
          </w:tcPr>
          <w:p>
            <w:r>
              <w:t>0.10%</w:t>
            </w:r>
          </w:p>
        </w:tc>
        <w:tc>
          <w:tcPr>
            <w:tcW w:type="dxa" w:w="1440"/>
          </w:tcPr>
          <w:p>
            <w:r>
              <w:t>23.3%</w:t>
            </w:r>
          </w:p>
        </w:tc>
        <w:tc>
          <w:tcPr>
            <w:tcW w:type="dxa" w:w="1440"/>
          </w:tcPr>
          <w:p>
            <w:r>
              <w:t>4.56%</w:t>
            </w:r>
          </w:p>
        </w:tc>
        <w:tc>
          <w:tcPr>
            <w:tcW w:type="dxa" w:w="1440"/>
          </w:tcPr>
          <w:p>
            <w:r>
              <w:t>57.0%</w:t>
            </w:r>
          </w:p>
        </w:tc>
        <w:tc>
          <w:tcPr>
            <w:tcW w:type="dxa" w:w="1440"/>
          </w:tcPr>
          <w:p>
            <w:r>
              <w:t>$4,500</w:t>
            </w:r>
          </w:p>
        </w:tc>
      </w:tr>
      <w:tr>
        <w:tc>
          <w:tcPr>
            <w:tcW w:type="dxa" w:w="1440"/>
          </w:tcPr>
          <w:p>
            <w:r>
              <w:t>BBB+</w:t>
            </w:r>
          </w:p>
        </w:tc>
        <w:tc>
          <w:tcPr>
            <w:tcW w:type="dxa" w:w="1440"/>
          </w:tcPr>
          <w:p>
            <w:r>
              <w:t>0.25%</w:t>
            </w:r>
          </w:p>
        </w:tc>
        <w:tc>
          <w:tcPr>
            <w:tcW w:type="dxa" w:w="1440"/>
          </w:tcPr>
          <w:p>
            <w:r>
              <w:t>22.2%</w:t>
            </w:r>
          </w:p>
        </w:tc>
        <w:tc>
          <w:tcPr>
            <w:tcW w:type="dxa" w:w="1440"/>
          </w:tcPr>
          <w:p>
            <w:r>
              <w:t>5.58%</w:t>
            </w:r>
          </w:p>
        </w:tc>
        <w:tc>
          <w:tcPr>
            <w:tcW w:type="dxa" w:w="1440"/>
          </w:tcPr>
          <w:p>
            <w:r>
              <w:t>69.8%</w:t>
            </w:r>
          </w:p>
        </w:tc>
        <w:tc>
          <w:tcPr>
            <w:tcW w:type="dxa" w:w="1440"/>
          </w:tcPr>
          <w:p>
            <w:r>
              <w:t>$11,250</w:t>
            </w:r>
          </w:p>
        </w:tc>
      </w:tr>
      <w:tr>
        <w:tc>
          <w:tcPr>
            <w:tcW w:type="dxa" w:w="1440"/>
          </w:tcPr>
          <w:p>
            <w:r>
              <w:t>**BBB (reference)**</w:t>
            </w:r>
          </w:p>
        </w:tc>
        <w:tc>
          <w:tcPr>
            <w:tcW w:type="dxa" w:w="1440"/>
          </w:tcPr>
          <w:p>
            <w:r>
              <w:t>**0.50%**</w:t>
            </w:r>
          </w:p>
        </w:tc>
        <w:tc>
          <w:tcPr>
            <w:tcW w:type="dxa" w:w="1440"/>
          </w:tcPr>
          <w:p>
            <w:r>
              <w:t>**21.3%**</w:t>
            </w:r>
          </w:p>
        </w:tc>
        <w:tc>
          <w:tcPr>
            <w:tcW w:type="dxa" w:w="1440"/>
          </w:tcPr>
          <w:p>
            <w:r>
              <w:t>**6.03%**</w:t>
            </w:r>
          </w:p>
        </w:tc>
        <w:tc>
          <w:tcPr>
            <w:tcW w:type="dxa" w:w="1440"/>
          </w:tcPr>
          <w:p>
            <w:r>
              <w:t>**75.4%**</w:t>
            </w:r>
          </w:p>
        </w:tc>
        <w:tc>
          <w:tcPr>
            <w:tcW w:type="dxa" w:w="1440"/>
          </w:tcPr>
          <w:p>
            <w:r>
              <w:t>**$22,500**</w:t>
            </w:r>
          </w:p>
        </w:tc>
      </w:tr>
      <w:tr>
        <w:tc>
          <w:tcPr>
            <w:tcW w:type="dxa" w:w="1440"/>
          </w:tcPr>
          <w:p>
            <w:r>
              <w:t>BB+</w:t>
            </w:r>
          </w:p>
        </w:tc>
        <w:tc>
          <w:tcPr>
            <w:tcW w:type="dxa" w:w="1440"/>
          </w:tcPr>
          <w:p>
            <w:r>
              <w:t>1.00%</w:t>
            </w:r>
          </w:p>
        </w:tc>
        <w:tc>
          <w:tcPr>
            <w:tcW w:type="dxa" w:w="1440"/>
          </w:tcPr>
          <w:p>
            <w:r>
              <w:t>19.3%</w:t>
            </w:r>
          </w:p>
        </w:tc>
        <w:tc>
          <w:tcPr>
            <w:tcW w:type="dxa" w:w="1440"/>
          </w:tcPr>
          <w:p>
            <w:r>
              <w:t>7.28%</w:t>
            </w:r>
          </w:p>
        </w:tc>
        <w:tc>
          <w:tcPr>
            <w:tcW w:type="dxa" w:w="1440"/>
          </w:tcPr>
          <w:p>
            <w:r>
              <w:t>91.0%</w:t>
            </w:r>
          </w:p>
        </w:tc>
        <w:tc>
          <w:tcPr>
            <w:tcW w:type="dxa" w:w="1440"/>
          </w:tcPr>
          <w:p>
            <w:r>
              <w:t>$45,000</w:t>
            </w:r>
          </w:p>
        </w:tc>
      </w:tr>
      <w:tr>
        <w:tc>
          <w:tcPr>
            <w:tcW w:type="dxa" w:w="1440"/>
          </w:tcPr>
          <w:p>
            <w:r>
              <w:t>BB</w:t>
            </w:r>
          </w:p>
        </w:tc>
        <w:tc>
          <w:tcPr>
            <w:tcW w:type="dxa" w:w="1440"/>
          </w:tcPr>
          <w:p>
            <w:r>
              <w:t>2.00%</w:t>
            </w:r>
          </w:p>
        </w:tc>
        <w:tc>
          <w:tcPr>
            <w:tcW w:type="dxa" w:w="1440"/>
          </w:tcPr>
          <w:p>
            <w:r>
              <w:t>16.4%</w:t>
            </w:r>
          </w:p>
        </w:tc>
        <w:tc>
          <w:tcPr>
            <w:tcW w:type="dxa" w:w="1440"/>
          </w:tcPr>
          <w:p>
            <w:r>
              <w:t>8.59%</w:t>
            </w:r>
          </w:p>
        </w:tc>
        <w:tc>
          <w:tcPr>
            <w:tcW w:type="dxa" w:w="1440"/>
          </w:tcPr>
          <w:p>
            <w:r>
              <w:t>107.4%</w:t>
            </w:r>
          </w:p>
        </w:tc>
        <w:tc>
          <w:tcPr>
            <w:tcW w:type="dxa" w:w="1440"/>
          </w:tcPr>
          <w:p>
            <w:r>
              <w:t>$90,000</w:t>
            </w:r>
          </w:p>
        </w:tc>
      </w:tr>
      <w:tr>
        <w:tc>
          <w:tcPr>
            <w:tcW w:type="dxa" w:w="1440"/>
          </w:tcPr>
          <w:p>
            <w:r>
              <w:t>BB−</w:t>
            </w:r>
          </w:p>
        </w:tc>
        <w:tc>
          <w:tcPr>
            <w:tcW w:type="dxa" w:w="1440"/>
          </w:tcPr>
          <w:p>
            <w:r>
              <w:t>5.00%</w:t>
            </w:r>
          </w:p>
        </w:tc>
        <w:tc>
          <w:tcPr>
            <w:tcW w:type="dxa" w:w="1440"/>
          </w:tcPr>
          <w:p>
            <w:r>
              <w:t>12.5%</w:t>
            </w:r>
          </w:p>
        </w:tc>
        <w:tc>
          <w:tcPr>
            <w:tcW w:type="dxa" w:w="1440"/>
          </w:tcPr>
          <w:p>
            <w:r>
              <w:t>9.19%</w:t>
            </w:r>
          </w:p>
        </w:tc>
        <w:tc>
          <w:tcPr>
            <w:tcW w:type="dxa" w:w="1440"/>
          </w:tcPr>
          <w:p>
            <w:r>
              <w:t>114.9%</w:t>
            </w:r>
          </w:p>
        </w:tc>
        <w:tc>
          <w:tcPr>
            <w:tcW w:type="dxa" w:w="1440"/>
          </w:tcPr>
          <w:p>
            <w:r>
              <w:t>$225,000</w:t>
            </w:r>
          </w:p>
        </w:tc>
      </w:tr>
      <w:tr>
        <w:tc>
          <w:tcPr>
            <w:tcW w:type="dxa" w:w="1440"/>
          </w:tcPr>
          <w:p>
            <w:r>
              <w:t>B</w:t>
            </w:r>
          </w:p>
        </w:tc>
        <w:tc>
          <w:tcPr>
            <w:tcW w:type="dxa" w:w="1440"/>
          </w:tcPr>
          <w:p>
            <w:r>
              <w:t>10.00%</w:t>
            </w:r>
          </w:p>
        </w:tc>
        <w:tc>
          <w:tcPr>
            <w:tcW w:type="dxa" w:w="1440"/>
          </w:tcPr>
          <w:p>
            <w:r>
              <w:t>12.2%</w:t>
            </w:r>
          </w:p>
        </w:tc>
        <w:tc>
          <w:tcPr>
            <w:tcW w:type="dxa" w:w="1440"/>
          </w:tcPr>
          <w:p>
            <w:r>
              <w:t>8.94%</w:t>
            </w:r>
          </w:p>
        </w:tc>
        <w:tc>
          <w:tcPr>
            <w:tcW w:type="dxa" w:w="1440"/>
          </w:tcPr>
          <w:p>
            <w:r>
              <w:t>111.8%</w:t>
            </w:r>
          </w:p>
        </w:tc>
        <w:tc>
          <w:tcPr>
            <w:tcW w:type="dxa" w:w="1440"/>
          </w:tcPr>
          <w:p>
            <w:r>
              <w:t>$450,000</w:t>
            </w:r>
          </w:p>
        </w:tc>
      </w:tr>
      <w:tr>
        <w:tc>
          <w:tcPr>
            <w:tcW w:type="dxa" w:w="1440"/>
          </w:tcPr>
          <w:p>
            <w:r>
              <w:t>CCC</w:t>
            </w:r>
          </w:p>
        </w:tc>
        <w:tc>
          <w:tcPr>
            <w:tcW w:type="dxa" w:w="1440"/>
          </w:tcPr>
          <w:p>
            <w:r>
              <w:t>20.00%</w:t>
            </w:r>
          </w:p>
        </w:tc>
        <w:tc>
          <w:tcPr>
            <w:tcW w:type="dxa" w:w="1440"/>
          </w:tcPr>
          <w:p>
            <w:r>
              <w:t>12.0%</w:t>
            </w:r>
          </w:p>
        </w:tc>
        <w:tc>
          <w:tcPr>
            <w:tcW w:type="dxa" w:w="1440"/>
          </w:tcPr>
          <w:p>
            <w:r>
              <w:t>8.02%</w:t>
            </w:r>
          </w:p>
        </w:tc>
        <w:tc>
          <w:tcPr>
            <w:tcW w:type="dxa" w:w="1440"/>
          </w:tcPr>
          <w:p>
            <w:r>
              <w:t>100.3%</w:t>
            </w:r>
          </w:p>
        </w:tc>
        <w:tc>
          <w:tcPr>
            <w:tcW w:type="dxa" w:w="1440"/>
          </w:tcPr>
          <w:p>
            <w:r>
              <w:t>$900,000</w:t>
            </w:r>
          </w:p>
        </w:tc>
      </w:tr>
    </w:tbl>
    <w:p>
      <w:r>
        <w:rPr>
          <w:b/>
        </w:rPr>
        <w:t>Critical non-linearity insight:</w:t>
      </w:r>
      <w:r>
        <w:t xml:space="preserve"> Capital (K) </w:t>
      </w:r>
      <w:r>
        <w:rPr>
          <w:b/>
        </w:rPr>
        <w:t>peaks around BB−/B rating (5–10% PD) and then decreases</w:t>
      </w:r>
      <w:r>
        <w:t xml:space="preserve"> for higher PDs. This is because:</w:t>
      </w:r>
    </w:p>
    <w:p>
      <w:pPr>
        <w:pStyle w:val="ListBullet"/>
      </w:pPr>
      <w:r>
        <w:t>At very high PDs (20%), the expected loss (EL = 20%×45% = 9%) is already very large — most of the loss is "expected" and should be provisioned, not capitalised</w:t>
      </w:r>
    </w:p>
    <w:p>
      <w:pPr>
        <w:pStyle w:val="ListBullet"/>
      </w:pPr>
      <w:r>
        <w:t>The Vasicek formula subtracts EL from the conditional loss, so as PD rises, EL grows faster than the conditional loss differential</w:t>
      </w:r>
    </w:p>
    <w:p>
      <w:r>
        <w:t>This creates a counter-intuitive result: a CCC-rated borrower at 20% PD requires less capital (K=8.02%) than a BB− borrower at 5% PD (K=9.19%). The CRO should ensure provisions are adequate for the high-PD tail — otherwise the EL shortfall creates a CET1 deduction that restores the true economic cost.</w:t>
      </w:r>
    </w:p>
    <w:p>
      <w:r>
        <w:rPr>
          <w:i/>
        </w:rPr>
        <w:t>This document was prepared from the PROMETHEUS `a_irb.py` source code and reflects the implementation as of April 2026. Regulatory references are to the Basel Framework (bis.org/basel_framework) CRE30–CRE36 standards effective 1 January 2023.</w:t>
      </w:r>
    </w:p>
    <w:p/>
    <w:p>
      <w:pPr>
        <w:ind w:left="720"/>
      </w:pPr>
      <w:r>
        <w:rPr>
          <w:i/>
        </w:rPr>
        <w:t>Source: AIRB_TECHNICAL_GUIDE.md</w:t>
        <w:br/>
      </w:r>
      <w:r>
        <w:rPr>
          <w:i/>
        </w:rPr>
        <w:t>Generated: 2026-05-03 18:06:20</w:t>
        <w:br/>
      </w:r>
      <w:r>
        <w:rPr>
          <w:i/>
        </w:rPr>
        <w:t>Prometheus Phase 2A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