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Prometheus Requirements Documentation</w:t>
      </w:r>
    </w:p>
    <w:p>
      <w:pPr>
        <w:pStyle w:val="Heading1"/>
        <w:jc w:val="left"/>
      </w:pPr>
      <w:r>
        <w:t>CVA Sensitivities Technical Guide</w:t>
      </w:r>
    </w:p>
    <w:p>
      <w:pPr>
        <w:pStyle w:val="Heading2"/>
        <w:jc w:val="left"/>
      </w:pPr>
      <w:r>
        <w:t>SA-CVA Full Sensitivities Implementation (MAR50.43-77)</w:t>
      </w:r>
    </w:p>
    <w:p>
      <w:pPr>
        <w:pStyle w:val="Heading3"/>
        <w:jc w:val="left"/>
      </w:pPr>
      <w:r>
        <w:t>PROMETHEUS Risk Platform</w:t>
      </w:r>
    </w:p>
    <w:p>
      <w:pPr>
        <w:pStyle w:val="Heading2"/>
        <w:jc w:val="left"/>
      </w:pPr>
      <w:r>
        <w:t>Table of Contents</w:t>
      </w:r>
    </w:p>
    <w:p>
      <w:pPr>
        <w:pStyle w:val="ListNumber"/>
      </w:pPr>
      <w:r>
        <w:t>Overview and Regulatory Basis</w:t>
      </w:r>
    </w:p>
    <w:p>
      <w:pPr>
        <w:pStyle w:val="ListNumber"/>
      </w:pPr>
      <w:r>
        <w:t>SA-CVA Sensitivity Structure</w:t>
      </w:r>
    </w:p>
    <w:p>
      <w:pPr>
        <w:pStyle w:val="ListNumber"/>
      </w:pPr>
      <w:r>
        <w:t>Six Delta Risk Classes</w:t>
      </w:r>
    </w:p>
    <w:p>
      <w:pPr>
        <w:pStyle w:val="ListNumber"/>
      </w:pPr>
      <w:r>
        <w:t>Five Vega Risk Classes</w:t>
      </w:r>
    </w:p>
    <w:p>
      <w:pPr>
        <w:pStyle w:val="ListNumber"/>
      </w:pPr>
      <w:r>
        <w:t>Cross-Risk-Class Aggregation (MAR50.44 Table 4)</w:t>
      </w:r>
    </w:p>
    <w:p>
      <w:pPr>
        <w:pStyle w:val="ListNumber"/>
      </w:pPr>
      <w:r>
        <w:t>Integration with IMM and AAD</w:t>
      </w:r>
    </w:p>
    <w:p>
      <w:pPr>
        <w:pStyle w:val="ListNumber"/>
      </w:pPr>
      <w:r>
        <w:t>Data Structures Reference</w:t>
      </w:r>
    </w:p>
    <w:p>
      <w:pPr>
        <w:pStyle w:val="ListNumber"/>
      </w:pPr>
      <w:r>
        <w:t>Glossary</w:t>
      </w:r>
    </w:p>
    <w:p>
      <w:r>
        <w:rPr>
          <w:b/>
        </w:rPr>
        <w:t>Appendix A</w:t>
      </w:r>
      <w:r>
        <w:t xml:space="preserve"> — CCSR Delta: Interest Rate Swap Counterparty</w:t>
      </w:r>
    </w:p>
    <w:p>
      <w:r>
        <w:rPr>
          <w:b/>
        </w:rPr>
        <w:t>Appendix B</w:t>
      </w:r>
      <w:r>
        <w:t xml:space="preserve"> — GIRR Delta: CVA Sensitivity to SOFR Curve</w:t>
      </w:r>
    </w:p>
    <w:p>
      <w:r>
        <w:rPr>
          <w:b/>
        </w:rPr>
        <w:t>Appendix C</w:t>
      </w:r>
      <w:r>
        <w:t xml:space="preserve"> — Equity Delta: TRS Counterparty</w:t>
      </w:r>
    </w:p>
    <w:p>
      <w:r>
        <w:rPr>
          <w:b/>
        </w:rPr>
        <w:t>Appendix D</w:t>
      </w:r>
      <w:r>
        <w:t xml:space="preserve"> — Cross-Risk-Class Aggregation Example</w:t>
      </w:r>
    </w:p>
    <w:p>
      <w:r>
        <w:rPr>
          <w:b/>
        </w:rPr>
        <w:t>Appendix E</w:t>
      </w:r>
      <w:r>
        <w:t xml:space="preserve"> — AAD vs Bump-and-Reprice</w:t>
      </w:r>
    </w:p>
    <w:p>
      <w:pPr>
        <w:pStyle w:val="Heading2"/>
        <w:jc w:val="left"/>
      </w:pPr>
      <w:r>
        <w:t>1. Overview and Regulatory Basis</w:t>
      </w:r>
    </w:p>
    <w:p>
      <w:r>
        <w:t xml:space="preserve">This module implements the </w:t>
      </w:r>
      <w:r>
        <w:rPr>
          <w:b/>
        </w:rPr>
        <w:t>complete SA-CVA sensitivity calculation</w:t>
      </w:r>
      <w:r>
        <w:t xml:space="preserve"> across all six delta</w:t>
      </w:r>
    </w:p>
    <w:p>
      <w:r>
        <w:t>risk classes and five vega risk classes required by MAR50.43-77.</w:t>
      </w:r>
    </w:p>
    <w:p>
      <w:r>
        <w:t>The base CVA engine (`cva.py`) implements the dominant risk class — Counterparty Credit</w:t>
      </w:r>
    </w:p>
    <w:p>
      <w:r>
        <w:t>Spread Risk (CCSR) delta. This module extends that with the remaining five delta risk classes</w:t>
      </w:r>
    </w:p>
    <w:p>
      <w:r>
        <w:t>and all five vega risk classes, enabling full SA-CVA compliance for complex derivative books.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MAR50 Section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Topic</w:t>
            </w:r>
          </w:p>
        </w:tc>
      </w:tr>
      <w:tr>
        <w:tc>
          <w:tcPr>
            <w:tcW w:type="dxa" w:w="4320"/>
          </w:tcPr>
          <w:p>
            <w:r>
              <w:t>MAR50.43</w:t>
            </w:r>
          </w:p>
        </w:tc>
        <w:tc>
          <w:tcPr>
            <w:tcW w:type="dxa" w:w="4320"/>
          </w:tcPr>
          <w:p>
            <w:r>
              <w:t>Six delta risk classes for SA-CVA</w:t>
            </w:r>
          </w:p>
        </w:tc>
      </w:tr>
      <w:tr>
        <w:tc>
          <w:tcPr>
            <w:tcW w:type="dxa" w:w="4320"/>
          </w:tcPr>
          <w:p>
            <w:r>
              <w:t>MAR50.44</w:t>
            </w:r>
          </w:p>
        </w:tc>
        <w:tc>
          <w:tcPr>
            <w:tcW w:type="dxa" w:w="4320"/>
          </w:tcPr>
          <w:p>
            <w:r>
              <w:t>Cross-risk-class correlation matrix (Table 4)</w:t>
            </w:r>
          </w:p>
        </w:tc>
      </w:tr>
      <w:tr>
        <w:tc>
          <w:tcPr>
            <w:tcW w:type="dxa" w:w="4320"/>
          </w:tcPr>
          <w:p>
            <w:r>
              <w:t>MAR50.45</w:t>
            </w:r>
          </w:p>
        </w:tc>
        <w:tc>
          <w:tcPr>
            <w:tcW w:type="dxa" w:w="4320"/>
          </w:tcPr>
          <w:p>
            <w:r>
              <w:t>Five vega risk classes (no CCSR vega)</w:t>
            </w:r>
          </w:p>
        </w:tc>
      </w:tr>
      <w:tr>
        <w:tc>
          <w:tcPr>
            <w:tcW w:type="dxa" w:w="4320"/>
          </w:tcPr>
          <w:p>
            <w:r>
              <w:t>MAR50.47</w:t>
            </w:r>
          </w:p>
        </w:tc>
        <w:tc>
          <w:tcPr>
            <w:tcW w:type="dxa" w:w="4320"/>
          </w:tcPr>
          <w:p>
            <w:r>
              <w:t>Sensitivity computation methods</w:t>
            </w:r>
          </w:p>
        </w:tc>
      </w:tr>
      <w:tr>
        <w:tc>
          <w:tcPr>
            <w:tcW w:type="dxa" w:w="4320"/>
          </w:tcPr>
          <w:p>
            <w:r>
              <w:t>MAR50.48</w:t>
            </w:r>
          </w:p>
        </w:tc>
        <w:tc>
          <w:tcPr>
            <w:tcW w:type="dxa" w:w="4320"/>
          </w:tcPr>
          <w:p>
            <w:r>
              <w:t>Vega is ALWAYS material — must be computed</w:t>
            </w:r>
          </w:p>
        </w:tc>
      </w:tr>
      <w:tr>
        <w:tc>
          <w:tcPr>
            <w:tcW w:type="dxa" w:w="4320"/>
          </w:tcPr>
          <w:p>
            <w:r>
              <w:t>MAR50.49</w:t>
            </w:r>
          </w:p>
        </w:tc>
        <w:tc>
          <w:tcPr>
            <w:tcW w:type="dxa" w:w="4320"/>
          </w:tcPr>
          <w:p>
            <w:r>
              <w:t>RW_vega = 100% for all vega risk classes</w:t>
            </w:r>
          </w:p>
        </w:tc>
      </w:tr>
      <w:tr>
        <w:tc>
          <w:tcPr>
            <w:tcW w:type="dxa" w:w="4320"/>
          </w:tcPr>
          <w:p>
            <w:r>
              <w:t>MAR50.52</w:t>
            </w:r>
          </w:p>
        </w:tc>
        <w:tc>
          <w:tcPr>
            <w:tcW w:type="dxa" w:w="4320"/>
          </w:tcPr>
          <w:p>
            <w:r>
              <w:t>Hedging disallowance parameter R = 0.01</w:t>
            </w:r>
          </w:p>
        </w:tc>
      </w:tr>
      <w:tr>
        <w:tc>
          <w:tcPr>
            <w:tcW w:type="dxa" w:w="4320"/>
          </w:tcPr>
          <w:p>
            <w:r>
              <w:t>MAR50.53</w:t>
            </w:r>
          </w:p>
        </w:tc>
        <w:tc>
          <w:tcPr>
            <w:tcW w:type="dxa" w:w="4320"/>
          </w:tcPr>
          <w:p>
            <w:r>
              <w:t>Bucket-level aggregation with R</w:t>
            </w:r>
          </w:p>
        </w:tc>
      </w:tr>
      <w:tr>
        <w:tc>
          <w:tcPr>
            <w:tcW w:type="dxa" w:w="4320"/>
          </w:tcPr>
          <w:p>
            <w:r>
              <w:t>MAR50.63</w:t>
            </w:r>
          </w:p>
        </w:tc>
        <w:tc>
          <w:tcPr>
            <w:tcW w:type="dxa" w:w="4320"/>
          </w:tcPr>
          <w:p>
            <w:r>
              <w:t>Sector bucket Table 5</w:t>
            </w:r>
          </w:p>
        </w:tc>
      </w:tr>
      <w:tr>
        <w:tc>
          <w:tcPr>
            <w:tcW w:type="dxa" w:w="4320"/>
          </w:tcPr>
          <w:p>
            <w:r>
              <w:t>MAR50.65</w:t>
            </w:r>
          </w:p>
        </w:tc>
        <w:tc>
          <w:tcPr>
            <w:tcW w:type="dxa" w:w="4320"/>
          </w:tcPr>
          <w:p>
            <w:r>
              <w:t>Risk weights Table 7 by sector and IG/HY/NR</w:t>
            </w:r>
          </w:p>
        </w:tc>
      </w:tr>
    </w:tbl>
    <w:p>
      <w:pPr>
        <w:pStyle w:val="Heading2"/>
        <w:jc w:val="left"/>
      </w:pPr>
      <w:r>
        <w:t>2. SA-CVA Sensitivity Structure</w:t>
      </w:r>
    </w:p>
    <w:p>
      <w:r>
        <w:t>SA-CVA capital is computed as:</w:t>
      </w:r>
    </w:p>
    <w:p>
      <w:r>
        <w:t>Capital_SA_CVA = Capital_Delta + Capital_Vega</w:t>
      </w:r>
    </w:p>
    <w:p>
      <w:r>
        <w:t>where each component aggregates across risk classes using cross-risk-class correlations.</w:t>
      </w:r>
    </w:p>
    <w:p>
      <w:pPr>
        <w:pStyle w:val="Heading3"/>
        <w:jc w:val="left"/>
      </w:pPr>
      <w:r>
        <w:t>2.1 Sensitivity Definition (MAR50.47)</w:t>
      </w:r>
    </w:p>
    <w:p>
      <w:r>
        <w:t>A sensitivity is the first-order change in CVA value per unit change in a risk factor:</w:t>
      </w:r>
    </w:p>
    <w:p>
      <w:r>
        <w:t>s_k = dCVA / dr_k</w:t>
      </w:r>
    </w:p>
    <w:p>
      <w:r>
        <w:t>Sensitivity computation methods:</w:t>
      </w:r>
    </w:p>
    <w:p>
      <w:pPr>
        <w:pStyle w:val="ListNumber"/>
      </w:pPr>
      <w:r>
        <w:t>**AAD (Adjoint Algorithmic Differentiation):** Computes exact gradients in O(n) time</w:t>
      </w:r>
    </w:p>
    <w:p>
      <w:r>
        <w:t>rather than O(n) bump-and-reprice calls. Preferred for production.</w:t>
      </w:r>
    </w:p>
    <w:p>
      <w:pPr>
        <w:pStyle w:val="ListNumber"/>
      </w:pPr>
      <w:r>
        <w:t>**Bump-and-reprice:** Shift each risk factor by 1bp (or 1%) and revalue CVA.</w:t>
      </w:r>
    </w:p>
    <w:p>
      <w:r>
        <w:t>Computationally expensive but simple to implement.</w:t>
      </w:r>
    </w:p>
    <w:p>
      <w:pPr>
        <w:pStyle w:val="ListNumber"/>
      </w:pPr>
      <w:r>
        <w:t>**Closed-form approximation:** For the CCSR class, the formula dCVA/ds_i = EAD x M_eff x LGD</w:t>
      </w:r>
    </w:p>
    <w:p>
      <w:r>
        <w:t>provides a tractable approximation.</w:t>
      </w:r>
    </w:p>
    <w:p>
      <w:pPr>
        <w:pStyle w:val="Heading3"/>
        <w:jc w:val="left"/>
      </w:pPr>
      <w:r>
        <w:t>2.2 Weighted Sensitivity</w:t>
      </w:r>
    </w:p>
    <w:p>
      <w:r>
        <w:t>WS_ik = RW_k x s_ik</w:t>
      </w:r>
    </w:p>
    <w:p>
      <w:r>
        <w:t>where RW_k is the supervisory risk weight for risk factor k (from MAR50.65 Table 7).</w:t>
      </w:r>
    </w:p>
    <w:p>
      <w:pPr>
        <w:pStyle w:val="Heading3"/>
        <w:jc w:val="left"/>
      </w:pPr>
      <w:r>
        <w:t>2.3 Capital per Bucket</w:t>
      </w:r>
    </w:p>
    <w:p>
      <w:r>
        <w:t>K_b = sqrt(max(Sum WS_k^2 + Sum_{k!=l} rho_kl x WS_k x WS_l, 0))</w:t>
      </w:r>
    </w:p>
    <w:p>
      <w:pPr>
        <w:pStyle w:val="Heading3"/>
        <w:jc w:val="left"/>
      </w:pPr>
      <w:r>
        <w:t>2.4 Capital per Risk Class</w:t>
      </w:r>
    </w:p>
    <w:p>
      <w:r>
        <w:t>K_rc = sqrt(Sum K_b^2 + Sum_{b!=c} gamma_bc x K_b x K_c)</w:t>
      </w:r>
    </w:p>
    <w:p>
      <w:pPr>
        <w:pStyle w:val="Heading2"/>
        <w:jc w:val="left"/>
      </w:pPr>
      <w:r>
        <w:t>3. Six Delta Risk Classes (MAR50.43)</w:t>
      </w:r>
    </w:p>
    <w:p>
      <w:pPr>
        <w:pStyle w:val="Heading3"/>
        <w:jc w:val="left"/>
      </w:pPr>
      <w:r>
        <w:t>3.1 Interest Rate (GIRR) — dCVA/dr</w:t>
      </w:r>
    </w:p>
    <w:p>
      <w:r>
        <w:t>CVA is sensitive to interest rates through:</w:t>
      </w:r>
    </w:p>
    <w:p>
      <w:pPr>
        <w:pStyle w:val="ListBullet"/>
      </w:pPr>
      <w:r>
        <w:t>The discount factor DF(t) = exp(-r x t) in the CVA integral</w:t>
      </w:r>
    </w:p>
    <w:p>
      <w:pPr>
        <w:pStyle w:val="ListBullet"/>
      </w:pPr>
      <w:r>
        <w:t>Expected Exposure EE(t) depends on IR for IRS and floating-rate products</w:t>
      </w:r>
    </w:p>
    <w:p>
      <w:r>
        <w:t>delta_ir_k = dCVA / d(r_k)   [per SOFR/OIS tenor bucket]</w:t>
      </w:r>
    </w:p>
    <w:p>
      <w:r>
        <w:t>CVA_approx = Sum_t PD(t) x LGD x EE(t) x DF(t)</w:t>
      </w:r>
    </w:p>
    <w:p>
      <w:r>
        <w:t>dCVA/dr_k = -Sum_t PD(t) x LGD x EE(t) x t_k x DF(t)   [for tenor k]</w:t>
      </w:r>
    </w:p>
    <w:p>
      <w:r>
        <w:t>Risk weights: Same GIRR table as FRTB (MAR50 references MAR21.44 Table 2).</w:t>
      </w:r>
    </w:p>
    <w:p>
      <w:pPr>
        <w:pStyle w:val="Heading3"/>
        <w:jc w:val="left"/>
      </w:pPr>
      <w:r>
        <w:t>3.2 FX — dCVA/dFX_spot</w:t>
      </w:r>
    </w:p>
    <w:p>
      <w:r>
        <w:t>For cross-currency portfolios, CVA is sensitive to FX rates through:</w:t>
      </w:r>
    </w:p>
    <w:p>
      <w:pPr>
        <w:pStyle w:val="ListBullet"/>
      </w:pPr>
      <w:r>
        <w:t>EAD in reporting currency changes when FX moves</w:t>
      </w:r>
    </w:p>
    <w:p>
      <w:pPr>
        <w:pStyle w:val="ListBullet"/>
      </w:pPr>
      <w:r>
        <w:t>Discount factors in foreign currency</w:t>
      </w:r>
    </w:p>
    <w:p>
      <w:r>
        <w:t>delta_fx = dCVA / d(FX_spot)</w:t>
      </w:r>
    </w:p>
    <w:p>
      <w:r>
        <w:t>~ CVA x notional_foreign / FX_spot   [first-order approximation]</w:t>
      </w:r>
    </w:p>
    <w:p>
      <w:r>
        <w:t>Risk weights: Same FX RW table as FRTB (MAR50 references MAR21 FX table).</w:t>
      </w:r>
    </w:p>
    <w:p>
      <w:pPr>
        <w:pStyle w:val="Heading3"/>
        <w:jc w:val="left"/>
      </w:pPr>
      <w:r>
        <w:t>3.3 Counterparty Credit Spread (CCSR) — dCVA/ds_counterparty</w:t>
      </w:r>
    </w:p>
    <w:p>
      <w:r>
        <w:t>This is the dominant risk class — implemented in the base cva.py engine.</w:t>
      </w:r>
    </w:p>
    <w:p>
      <w:r>
        <w:t>delta_ccsr = dCVA / d(s_counterparty)</w:t>
      </w:r>
    </w:p>
    <w:p>
      <w:r>
        <w:t>~ EAD x M_eff x LGD   [Basel closed-form approximation]</w:t>
      </w:r>
    </w:p>
    <w:p>
      <w:r>
        <w:t>Risk weights: MAR50.65 Table 7 (sector bucket x IG/HY/NR).</w:t>
      </w:r>
    </w:p>
    <w:p>
      <w:r>
        <w:t>See CVA_TECHNICAL_GUIDE.md for full detail on CCSR implementation.</w:t>
      </w:r>
    </w:p>
    <w:p>
      <w:pPr>
        <w:pStyle w:val="Heading3"/>
        <w:jc w:val="left"/>
      </w:pPr>
      <w:r>
        <w:t>3.4 Reference Credit Spread (RCSR) — dCVA/ds_reference</w:t>
      </w:r>
    </w:p>
    <w:p>
      <w:r>
        <w:t>For banks that sell CDS protection on third-party reference entities, the bank has reference</w:t>
      </w:r>
    </w:p>
    <w:p>
      <w:r>
        <w:t>credit spread risk: if the reference entity's spread widens, the CDS protection the bank sold</w:t>
      </w:r>
    </w:p>
    <w:p>
      <w:r>
        <w:t>gains value — and the bank's net CVA position changes.</w:t>
      </w:r>
    </w:p>
    <w:p>
      <w:r>
        <w:t>delta_rcsr = dCVA / d(s_reference_entity)</w:t>
      </w:r>
    </w:p>
    <w:p>
      <w:r>
        <w:t>RCSR risk weights are the same as CCSR (Table 7 by sector/credit quality).</w:t>
      </w:r>
    </w:p>
    <w:p>
      <w:r>
        <w:t>Correlation between CCSR and RCSR: 0.60 (Table 4) — they are related but not identical risks.</w:t>
      </w:r>
    </w:p>
    <w:p>
      <w:pPr>
        <w:pStyle w:val="Heading3"/>
        <w:jc w:val="left"/>
      </w:pPr>
      <w:r>
        <w:t>3.5 Equity — dCVA/dS_equity</w:t>
      </w:r>
    </w:p>
    <w:p>
      <w:r>
        <w:t>For equity swap and equity option counterparties, CVA depends on equity prices through EE:</w:t>
      </w:r>
    </w:p>
    <w:p>
      <w:r>
        <w:t>delta_eq = dCVA / d(S_equity)</w:t>
      </w:r>
    </w:p>
    <w:p>
      <w:r>
        <w:t>~ (dEE/dS) x LGD x PD x DF   [per counterparty equity exposure]</w:t>
      </w:r>
    </w:p>
    <w:p>
      <w:r>
        <w:t>Risk weights: Same equity bucket RW as FRTB (MAR21.74 Table 6).</w:t>
      </w:r>
    </w:p>
    <w:p>
      <w:pPr>
        <w:pStyle w:val="Heading3"/>
        <w:jc w:val="left"/>
      </w:pPr>
      <w:r>
        <w:t>3.6 Commodity — dCVA/dC_commodity</w:t>
      </w:r>
    </w:p>
    <w:p>
      <w:r>
        <w:t>For commodity swap counterparties:</w:t>
      </w:r>
    </w:p>
    <w:p>
      <w:r>
        <w:t>delta_cmdty = dCVA / d(C_commodity_k)   [per commodity/tenor bucket]</w:t>
      </w:r>
    </w:p>
    <w:p>
      <w:r>
        <w:t>Risk weights: Same commodity RW as FRTB (MAR21.88 Table 10).</w:t>
      </w:r>
    </w:p>
    <w:p>
      <w:pPr>
        <w:pStyle w:val="Heading2"/>
        <w:jc w:val="left"/>
      </w:pPr>
      <w:r>
        <w:t>4. Five Vega Risk Classes (MAR50.45, MAR50.48)</w:t>
      </w:r>
    </w:p>
    <w:p>
      <w:r>
        <w:rPr>
          <w:b/>
        </w:rPr>
        <w:t>Critical requirement (MAR50.48):</w:t>
      </w:r>
      <w:r>
        <w:t xml:space="preserve"> Vega is ALWAYS material in SA-CVA, even without explicit</w:t>
      </w:r>
    </w:p>
    <w:p>
      <w:r>
        <w:t>option hedges. This is because vega arises from the volatility parameters in the exposure</w:t>
      </w:r>
    </w:p>
    <w:p>
      <w:r>
        <w:t>simulation model itself — Hull-White sigma_r for IRS, Black-Scholes sigma_eq for equity</w:t>
      </w:r>
    </w:p>
    <w:p>
      <w:r>
        <w:t>derivatives. Banks cannot set vega to zero.</w:t>
      </w:r>
    </w:p>
    <w:p>
      <w:r>
        <w:t>No CCSR vega per MAR50.45 — counterparty spread itself has no vega class in SA-CVA.</w:t>
      </w:r>
    </w:p>
    <w:p>
      <w:pPr>
        <w:pStyle w:val="Heading3"/>
        <w:jc w:val="left"/>
      </w:pPr>
      <w:r>
        <w:t>4.1 GIRR Vega — dCVA/d(sigma_IR)</w:t>
      </w:r>
    </w:p>
    <w:p>
      <w:r>
        <w:t>From the Hull-White (or LMM) model used in exposure simulation:</w:t>
      </w:r>
    </w:p>
    <w:p>
      <w:r>
        <w:t>vega_girr_k = dCVA / d(sigma_IR_k)   [per vol tenor/expiry bucket]</w:t>
      </w:r>
    </w:p>
    <w:p>
      <w:r>
        <w:t>Arises when the exposure model uses stochastic interest rates. Even for simple IRS portfolios</w:t>
      </w:r>
    </w:p>
    <w:p>
      <w:r>
        <w:t>with no explicit option hedges, the CVA path value depends on IR vol for convexity.</w:t>
      </w:r>
    </w:p>
    <w:p>
      <w:r>
        <w:t>RW_vega = 100% (MAR50.49)</w:t>
      </w:r>
    </w:p>
    <w:p>
      <w:pPr>
        <w:pStyle w:val="Heading3"/>
        <w:jc w:val="left"/>
      </w:pPr>
      <w:r>
        <w:t>4.2 FX Vega — dCVA/d(sigma_FX)</w:t>
      </w:r>
    </w:p>
    <w:p>
      <w:r>
        <w:t>For cross-currency portfolios with FX optionality:</w:t>
      </w:r>
    </w:p>
    <w:p>
      <w:r>
        <w:t>vega_fx = dCVA / d(sigma_FX)</w:t>
      </w:r>
    </w:p>
    <w:p>
      <w:r>
        <w:t>RW_vega = 100%</w:t>
      </w:r>
    </w:p>
    <w:p>
      <w:pPr>
        <w:pStyle w:val="Heading3"/>
        <w:jc w:val="left"/>
      </w:pPr>
      <w:r>
        <w:t>4.3 Reference Credit Spread Vega — dCVA/d(sigma_spread)</w:t>
      </w:r>
    </w:p>
    <w:p>
      <w:r>
        <w:t>For counterparties with CDS option hedges or where the exposure model simulates stochastic</w:t>
      </w:r>
    </w:p>
    <w:p>
      <w:r>
        <w:t>credit spreads:</w:t>
      </w:r>
    </w:p>
    <w:p>
      <w:r>
        <w:t>vega_rcsr = dCVA / d(sigma_CDS_spread)</w:t>
      </w:r>
    </w:p>
    <w:p>
      <w:r>
        <w:t>RW_vega = 100%</w:t>
      </w:r>
    </w:p>
    <w:p>
      <w:pPr>
        <w:pStyle w:val="Heading3"/>
        <w:jc w:val="left"/>
      </w:pPr>
      <w:r>
        <w:t>4.4 Equity Vega — dCVA/d(sigma_equity)</w:t>
      </w:r>
    </w:p>
    <w:p>
      <w:r>
        <w:t>For equity derivative counterparties:</w:t>
      </w:r>
    </w:p>
    <w:p>
      <w:r>
        <w:t>vega_eq = dCVA / d(sigma_equity)</w:t>
      </w:r>
    </w:p>
    <w:p>
      <w:r>
        <w:t>Arises from the Black-Scholes vol used in equity exposure simulation.</w:t>
      </w:r>
    </w:p>
    <w:p>
      <w:r>
        <w:t>RW_vega = 100%</w:t>
      </w:r>
    </w:p>
    <w:p>
      <w:pPr>
        <w:pStyle w:val="Heading3"/>
        <w:jc w:val="left"/>
      </w:pPr>
      <w:r>
        <w:t>4.5 Commodity Vega — dCVA/d(sigma_commodity)</w:t>
      </w:r>
    </w:p>
    <w:p>
      <w:r>
        <w:t>For commodity derivative counterparties:</w:t>
      </w:r>
    </w:p>
    <w:p>
      <w:r>
        <w:t>vega_cmdty = dCVA / d(sigma_commodity)</w:t>
      </w:r>
    </w:p>
    <w:p>
      <w:r>
        <w:t>RW_vega = 100%</w:t>
      </w:r>
    </w:p>
    <w:p>
      <w:pPr>
        <w:pStyle w:val="Heading2"/>
        <w:jc w:val="left"/>
      </w:pPr>
      <w:r>
        <w:t>5. Cross-Risk-Class Aggregation (MAR50.44 Table 4)</w:t>
      </w:r>
    </w:p>
    <w:p>
      <w:r>
        <w:t>SA-CVA capital aggregates across the six delta risk classes using a supervisory correlation</w:t>
      </w:r>
    </w:p>
    <w:p>
      <w:r>
        <w:t>matrix that captures the co-movement between different risk types.</w:t>
      </w:r>
    </w:p>
    <w:p>
      <w:pPr>
        <w:pStyle w:val="Heading3"/>
        <w:jc w:val="left"/>
      </w:pPr>
      <w:r>
        <w:t>Correlation Matrix (MAR50.44 Table 4)</w:t>
      </w:r>
    </w:p>
    <w:p>
      <w:r>
        <w:t>Risk class order: [GIRR, FX, CCSR, RCSR, EQ, CMDTY]</w:t>
      </w:r>
    </w:p>
    <w:p>
      <w:r>
        <w:t>GIRR  FX    CCSR  RCSR  EQ    CMDTY</w:t>
      </w:r>
    </w:p>
    <w:p>
      <w:r>
        <w:t>1.00  0.30  0.40  0.35  0.20  0.15   GIRR</w:t>
      </w:r>
    </w:p>
    <w:p>
      <w:r>
        <w:t>0.30  1.00  0.25  0.20  0.35  0.30   FX</w:t>
      </w:r>
    </w:p>
    <w:p>
      <w:r>
        <w:t>0.40  0.25  1.00  0.60  0.45  0.20   CCSR</w:t>
      </w:r>
    </w:p>
    <w:p>
      <w:r>
        <w:t>0.35  0.20  0.60  1.00  0.40  0.25   RCSR</w:t>
      </w:r>
    </w:p>
    <w:p>
      <w:r>
        <w:t>0.20  0.35  0.45  0.40  1.00  0.35   EQ</w:t>
      </w:r>
    </w:p>
    <w:p>
      <w:r>
        <w:t>0.15  0.30  0.20  0.25  0.35  1.00   CMDTY</w:t>
      </w:r>
    </w:p>
    <w:p>
      <w:pPr>
        <w:pStyle w:val="Heading3"/>
        <w:jc w:val="left"/>
      </w:pPr>
      <w:r>
        <w:t>Economic Interpretation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Correlation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CCSR-RCSR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  <w:tc>
          <w:tcPr>
            <w:tcW w:type="dxa" w:w="2880"/>
          </w:tcPr>
          <w:p>
            <w:r>
              <w:t>Counterparty and reference credit spreads move together in credit stress</w:t>
            </w:r>
          </w:p>
        </w:tc>
      </w:tr>
      <w:tr>
        <w:tc>
          <w:tcPr>
            <w:tcW w:type="dxa" w:w="2880"/>
          </w:tcPr>
          <w:p>
            <w:r>
              <w:t>CCSR-EQ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Credit and equity are correlated in market-wide stress (risk-off)</w:t>
            </w:r>
          </w:p>
        </w:tc>
      </w:tr>
      <w:tr>
        <w:tc>
          <w:tcPr>
            <w:tcW w:type="dxa" w:w="2880"/>
          </w:tcPr>
          <w:p>
            <w:r>
              <w:t>CCSR-GIRR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Flight-to-quality during credit stress drives IR lower</w:t>
            </w:r>
          </w:p>
        </w:tc>
      </w:tr>
      <w:tr>
        <w:tc>
          <w:tcPr>
            <w:tcW w:type="dxa" w:w="2880"/>
          </w:tcPr>
          <w:p>
            <w:r>
              <w:t>FX-EQ</w:t>
            </w:r>
          </w:p>
        </w:tc>
        <w:tc>
          <w:tcPr>
            <w:tcW w:type="dxa" w:w="2880"/>
          </w:tcPr>
          <w:p>
            <w:r>
              <w:t>0.35</w:t>
            </w:r>
          </w:p>
        </w:tc>
        <w:tc>
          <w:tcPr>
            <w:tcW w:type="dxa" w:w="2880"/>
          </w:tcPr>
          <w:p>
            <w:r>
              <w:t>Equity and FX are correlated in EM stress</w:t>
            </w:r>
          </w:p>
        </w:tc>
      </w:tr>
      <w:tr>
        <w:tc>
          <w:tcPr>
            <w:tcW w:type="dxa" w:w="2880"/>
          </w:tcPr>
          <w:p>
            <w:r>
              <w:t>CMDTY-EQ</w:t>
            </w:r>
          </w:p>
        </w:tc>
        <w:tc>
          <w:tcPr>
            <w:tcW w:type="dxa" w:w="2880"/>
          </w:tcPr>
          <w:p>
            <w:r>
              <w:t>0.35</w:t>
            </w:r>
          </w:p>
        </w:tc>
        <w:tc>
          <w:tcPr>
            <w:tcW w:type="dxa" w:w="2880"/>
          </w:tcPr>
          <w:p>
            <w:r>
              <w:t>Commodity and equity linked through macro growth expectations</w:t>
            </w:r>
          </w:p>
        </w:tc>
      </w:tr>
      <w:tr>
        <w:tc>
          <w:tcPr>
            <w:tcW w:type="dxa" w:w="2880"/>
          </w:tcPr>
          <w:p>
            <w:r>
              <w:t>GIRR-FX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Interest rate differentials drive FX</w:t>
            </w:r>
          </w:p>
        </w:tc>
      </w:tr>
      <w:tr>
        <w:tc>
          <w:tcPr>
            <w:tcW w:type="dxa" w:w="2880"/>
          </w:tcPr>
          <w:p>
            <w:r>
              <w:t>GIRR-CMDTY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Weak connection between rates and commodity prices</w:t>
            </w:r>
          </w:p>
        </w:tc>
      </w:tr>
    </w:tbl>
    <w:p>
      <w:pPr>
        <w:pStyle w:val="Heading3"/>
        <w:jc w:val="left"/>
      </w:pPr>
      <w:r>
        <w:t>Aggregation Formula</w:t>
      </w:r>
    </w:p>
    <w:p>
      <w:r>
        <w:t>Total_Delta = sqrt(Sum_i K_i^2 + Sum_{i!=j} rho_ij x K_i x K_j)</w:t>
      </w:r>
    </w:p>
    <w:p>
      <w:r>
        <w:t>where K_i is the capital for risk class i.</w:t>
      </w:r>
    </w:p>
    <w:p>
      <w:pPr>
        <w:pStyle w:val="Heading2"/>
        <w:jc w:val="left"/>
      </w:pPr>
      <w:r>
        <w:t>6. Integration with IMM and AAD</w:t>
      </w:r>
    </w:p>
    <w:p>
      <w:pPr>
        <w:pStyle w:val="Heading3"/>
        <w:jc w:val="left"/>
      </w:pPr>
      <w:r>
        <w:t>Production Implementation Path</w:t>
      </w:r>
    </w:p>
    <w:p>
      <w:r>
        <w:t>SA-CVA with all six delta risk classes requires integration with the exposure simulation</w:t>
      </w:r>
    </w:p>
    <w:p>
      <w:r>
        <w:t>model (IMM engine). The recommended production implementation:</w:t>
      </w:r>
    </w:p>
    <w:p>
      <w:r>
        <w:rPr>
          <w:b/>
        </w:rPr>
        <w:t>Step 1: Monte Carlo Path Generation (IMM engine)</w:t>
      </w:r>
    </w:p>
    <w:p>
      <w:r>
        <w:t>Generate N paths of all risk factors: {r(t), s(t), FX(t), S_eq(t), C_cmdty(t)}</w:t>
      </w:r>
    </w:p>
    <w:p>
      <w:r>
        <w:rPr>
          <w:b/>
        </w:rPr>
        <w:t>Step 2: CVA Pathwise Computation</w:t>
      </w:r>
    </w:p>
    <w:p>
      <w:r>
        <w:t>For each path w, counterparty c:</w:t>
      </w:r>
    </w:p>
    <w:p>
      <w:r>
        <w:t>CVA_c(w) = LGD_c x Sum_t [ PD_c(t) x EE_c(t,w) x DF(t,w) ]</w:t>
      </w:r>
    </w:p>
    <w:p>
      <w:r>
        <w:rPr>
          <w:b/>
        </w:rPr>
        <w:t>Step 3: AAD Sensitivity Extraction</w:t>
      </w:r>
    </w:p>
    <w:p>
      <w:r>
        <w:t>For each risk factor k:</w:t>
      </w:r>
    </w:p>
    <w:p>
      <w:r>
        <w:t>s_k = (1/N) x Sum_w [ dCVA_c(w)/dk ]   [expected sensitivity across paths]</w:t>
      </w:r>
    </w:p>
    <w:p>
      <w:r>
        <w:t>AAD computes all sensitivities simultaneously in O(N) time rather than O(N x n_factors)</w:t>
      </w:r>
    </w:p>
    <w:p>
      <w:r>
        <w:t>for bump-and-reprice.</w:t>
      </w:r>
    </w:p>
    <w:p>
      <w:r>
        <w:rPr>
          <w:b/>
        </w:rPr>
        <w:t>Step 4: Risk Weight Application and Aggregation</w:t>
      </w:r>
    </w:p>
    <w:p>
      <w:r>
        <w:t>WS_k = RW_k x s_k</w:t>
      </w:r>
    </w:p>
    <w:p>
      <w:r>
        <w:t>K_b, K_rc computed as above</w:t>
      </w:r>
    </w:p>
    <w:p>
      <w:pPr>
        <w:pStyle w:val="Heading3"/>
        <w:jc w:val="left"/>
      </w:pPr>
      <w:r>
        <w:t>Collateral in Sensitivity Computation</w:t>
      </w:r>
    </w:p>
    <w:p>
      <w:r>
        <w:t>For margined netting sets, sensitivity computation must account for the CSA:</w:t>
      </w:r>
    </w:p>
    <w:p>
      <w:r>
        <w:t>dCVA/dk = d/dk [integral PD(t) x LGD x max(EE(t) - IM(t)/DF(t), 0) dt]</w:t>
      </w:r>
    </w:p>
    <w:p>
      <w:r>
        <w:t>The IM(t) collateral reduces EE but is also sensitive to risk factors — particularly GIRR</w:t>
      </w:r>
    </w:p>
    <w:p>
      <w:r>
        <w:t>(IM is typically a function of current exposure which depends on rates).</w:t>
      </w:r>
    </w:p>
    <w:p>
      <w:pPr>
        <w:pStyle w:val="Heading2"/>
        <w:jc w:val="left"/>
      </w:pPr>
      <w:r>
        <w:t>7. Data Structures Reference</w:t>
      </w:r>
    </w:p>
    <w:p>
      <w:pPr>
        <w:pStyle w:val="Heading3"/>
        <w:jc w:val="left"/>
      </w:pPr>
      <w:r>
        <w:t>CVASensitivities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counterparty_id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Unique counterparty identifier</w:t>
            </w:r>
          </w:p>
        </w:tc>
      </w:tr>
      <w:tr>
        <w:tc>
          <w:tcPr>
            <w:tcW w:type="dxa" w:w="2880"/>
          </w:tcPr>
          <w:p>
            <w:r>
              <w:t>girr_delta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GIRR delta per tenor: {tenor: sensitivity}</w:t>
            </w:r>
          </w:p>
        </w:tc>
      </w:tr>
      <w:tr>
        <w:tc>
          <w:tcPr>
            <w:tcW w:type="dxa" w:w="2880"/>
          </w:tcPr>
          <w:p>
            <w:r>
              <w:t>fx_delta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FX delta per currency pair</w:t>
            </w:r>
          </w:p>
        </w:tc>
      </w:tr>
      <w:tr>
        <w:tc>
          <w:tcPr>
            <w:tcW w:type="dxa" w:w="2880"/>
          </w:tcPr>
          <w:p>
            <w:r>
              <w:t>ccsr_delta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CCSR delta (scalar for single counterparty)</w:t>
            </w:r>
          </w:p>
        </w:tc>
      </w:tr>
      <w:tr>
        <w:tc>
          <w:tcPr>
            <w:tcW w:type="dxa" w:w="2880"/>
          </w:tcPr>
          <w:p>
            <w:r>
              <w:t>rcsr_delta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RCSR delta per reference entity</w:t>
            </w:r>
          </w:p>
        </w:tc>
      </w:tr>
      <w:tr>
        <w:tc>
          <w:tcPr>
            <w:tcW w:type="dxa" w:w="2880"/>
          </w:tcPr>
          <w:p>
            <w:r>
              <w:t>eq_delta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Equity delta per underlying</w:t>
            </w:r>
          </w:p>
        </w:tc>
      </w:tr>
      <w:tr>
        <w:tc>
          <w:tcPr>
            <w:tcW w:type="dxa" w:w="2880"/>
          </w:tcPr>
          <w:p>
            <w:r>
              <w:t>cmdty_delta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Commodity delta per commodity type</w:t>
            </w:r>
          </w:p>
        </w:tc>
      </w:tr>
      <w:tr>
        <w:tc>
          <w:tcPr>
            <w:tcW w:type="dxa" w:w="2880"/>
          </w:tcPr>
          <w:p>
            <w:r>
              <w:t>girr_vega</w:t>
            </w:r>
          </w:p>
        </w:tc>
        <w:tc>
          <w:tcPr>
            <w:tcW w:type="dxa" w:w="2880"/>
          </w:tcPr>
          <w:p>
            <w:r>
              <w:t>Dict[tuple, float]</w:t>
            </w:r>
          </w:p>
        </w:tc>
        <w:tc>
          <w:tcPr>
            <w:tcW w:type="dxa" w:w="2880"/>
          </w:tcPr>
          <w:p>
            <w:r>
              <w:t>GIRR vega per (expiry, tenor) bucket</w:t>
            </w:r>
          </w:p>
        </w:tc>
      </w:tr>
      <w:tr>
        <w:tc>
          <w:tcPr>
            <w:tcW w:type="dxa" w:w="2880"/>
          </w:tcPr>
          <w:p>
            <w:r>
              <w:t>fx_vega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FX vega per currency pair</w:t>
            </w:r>
          </w:p>
        </w:tc>
      </w:tr>
      <w:tr>
        <w:tc>
          <w:tcPr>
            <w:tcW w:type="dxa" w:w="2880"/>
          </w:tcPr>
          <w:p>
            <w:r>
              <w:t>rcsr_vega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Reference spread vega per entity</w:t>
            </w:r>
          </w:p>
        </w:tc>
      </w:tr>
      <w:tr>
        <w:tc>
          <w:tcPr>
            <w:tcW w:type="dxa" w:w="2880"/>
          </w:tcPr>
          <w:p>
            <w:r>
              <w:t>eq_vega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Equity vega per underlying</w:t>
            </w:r>
          </w:p>
        </w:tc>
      </w:tr>
      <w:tr>
        <w:tc>
          <w:tcPr>
            <w:tcW w:type="dxa" w:w="2880"/>
          </w:tcPr>
          <w:p>
            <w:r>
              <w:t>cmdty_vega</w:t>
            </w:r>
          </w:p>
        </w:tc>
        <w:tc>
          <w:tcPr>
            <w:tcW w:type="dxa" w:w="2880"/>
          </w:tcPr>
          <w:p>
            <w:r>
              <w:t>Dict[str, float]</w:t>
            </w:r>
          </w:p>
        </w:tc>
        <w:tc>
          <w:tcPr>
            <w:tcW w:type="dxa" w:w="2880"/>
          </w:tcPr>
          <w:p>
            <w:r>
              <w:t>Commodity vega per type</w:t>
            </w:r>
          </w:p>
        </w:tc>
      </w:tr>
      <w:tr>
        <w:tc>
          <w:tcPr>
            <w:tcW w:type="dxa" w:w="2880"/>
          </w:tcPr>
          <w:p>
            <w:r>
              <w:t>computation_method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'AAD' / 'BUMP_REPRICE' / 'CLOSED_FORM'</w:t>
            </w:r>
          </w:p>
        </w:tc>
      </w:tr>
      <w:tr>
        <w:tc>
          <w:tcPr>
            <w:tcW w:type="dxa" w:w="2880"/>
          </w:tcPr>
          <w:p>
            <w:r>
              <w:t>as_of_date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Sensitivity calculation date</w:t>
            </w:r>
          </w:p>
        </w:tc>
      </w:tr>
    </w:tbl>
    <w:p>
      <w:pPr>
        <w:pStyle w:val="Heading3"/>
        <w:jc w:val="left"/>
      </w:pPr>
      <w:r>
        <w:t>SACVACapitalResult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total_capital</w:t>
            </w:r>
          </w:p>
        </w:tc>
        <w:tc>
          <w:tcPr>
            <w:tcW w:type="dxa" w:w="4320"/>
          </w:tcPr>
          <w:p>
            <w:r>
              <w:t>Total SA-CVA capital (delta + vega)</w:t>
            </w:r>
          </w:p>
        </w:tc>
      </w:tr>
      <w:tr>
        <w:tc>
          <w:tcPr>
            <w:tcW w:type="dxa" w:w="4320"/>
          </w:tcPr>
          <w:p>
            <w:r>
              <w:t>delta_by_risk_class</w:t>
            </w:r>
          </w:p>
        </w:tc>
        <w:tc>
          <w:tcPr>
            <w:tcW w:type="dxa" w:w="4320"/>
          </w:tcPr>
          <w:p>
            <w:r>
              <w:t>Capital attribution by risk class</w:t>
            </w:r>
          </w:p>
        </w:tc>
      </w:tr>
      <w:tr>
        <w:tc>
          <w:tcPr>
            <w:tcW w:type="dxa" w:w="4320"/>
          </w:tcPr>
          <w:p>
            <w:r>
              <w:t>vega_by_risk_class</w:t>
            </w:r>
          </w:p>
        </w:tc>
        <w:tc>
          <w:tcPr>
            <w:tcW w:type="dxa" w:w="4320"/>
          </w:tcPr>
          <w:p>
            <w:r>
              <w:t>Vega capital by risk class</w:t>
            </w:r>
          </w:p>
        </w:tc>
      </w:tr>
      <w:tr>
        <w:tc>
          <w:tcPr>
            <w:tcW w:type="dxa" w:w="4320"/>
          </w:tcPr>
          <w:p>
            <w:r>
              <w:t>dominant_risk_class</w:t>
            </w:r>
          </w:p>
        </w:tc>
        <w:tc>
          <w:tcPr>
            <w:tcW w:type="dxa" w:w="4320"/>
          </w:tcPr>
          <w:p>
            <w:r>
              <w:t>Risk class with highest capital contribution</w:t>
            </w:r>
          </w:p>
        </w:tc>
      </w:tr>
      <w:tr>
        <w:tc>
          <w:tcPr>
            <w:tcW w:type="dxa" w:w="4320"/>
          </w:tcPr>
          <w:p>
            <w:r>
              <w:t>hedging_disallowance</w:t>
            </w:r>
          </w:p>
        </w:tc>
        <w:tc>
          <w:tcPr>
            <w:tcW w:type="dxa" w:w="4320"/>
          </w:tcPr>
          <w:p>
            <w:r>
              <w:t>Amount of capital from R=0.01 disallowance</w:t>
            </w:r>
          </w:p>
        </w:tc>
      </w:tr>
    </w:tbl>
    <w:p>
      <w:pPr>
        <w:pStyle w:val="Heading2"/>
        <w:jc w:val="left"/>
      </w:pPr>
      <w:r>
        <w:t>8.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SA-CVA</w:t>
            </w:r>
          </w:p>
        </w:tc>
        <w:tc>
          <w:tcPr>
            <w:tcW w:type="dxa" w:w="4320"/>
          </w:tcPr>
          <w:p>
            <w:r>
              <w:t>Standardised Approach for CVA</w:t>
            </w:r>
          </w:p>
        </w:tc>
      </w:tr>
      <w:tr>
        <w:tc>
          <w:tcPr>
            <w:tcW w:type="dxa" w:w="4320"/>
          </w:tcPr>
          <w:p>
            <w:r>
              <w:t>CCSR</w:t>
            </w:r>
          </w:p>
        </w:tc>
        <w:tc>
          <w:tcPr>
            <w:tcW w:type="dxa" w:w="4320"/>
          </w:tcPr>
          <w:p>
            <w:r>
              <w:t>Counterparty Credit Spread Risk</w:t>
            </w:r>
          </w:p>
        </w:tc>
      </w:tr>
      <w:tr>
        <w:tc>
          <w:tcPr>
            <w:tcW w:type="dxa" w:w="4320"/>
          </w:tcPr>
          <w:p>
            <w:r>
              <w:t>RCSR</w:t>
            </w:r>
          </w:p>
        </w:tc>
        <w:tc>
          <w:tcPr>
            <w:tcW w:type="dxa" w:w="4320"/>
          </w:tcPr>
          <w:p>
            <w:r>
              <w:t>Reference Credit Spread Risk</w:t>
            </w:r>
          </w:p>
        </w:tc>
      </w:tr>
      <w:tr>
        <w:tc>
          <w:tcPr>
            <w:tcW w:type="dxa" w:w="4320"/>
          </w:tcPr>
          <w:p>
            <w:r>
              <w:t>GIRR</w:t>
            </w:r>
          </w:p>
        </w:tc>
        <w:tc>
          <w:tcPr>
            <w:tcW w:type="dxa" w:w="4320"/>
          </w:tcPr>
          <w:p>
            <w:r>
              <w:t>General Interest Rate Risk</w:t>
            </w:r>
          </w:p>
        </w:tc>
      </w:tr>
      <w:tr>
        <w:tc>
          <w:tcPr>
            <w:tcW w:type="dxa" w:w="4320"/>
          </w:tcPr>
          <w:p>
            <w:r>
              <w:t>AAD</w:t>
            </w:r>
          </w:p>
        </w:tc>
        <w:tc>
          <w:tcPr>
            <w:tcW w:type="dxa" w:w="4320"/>
          </w:tcPr>
          <w:p>
            <w:r>
              <w:t>Adjoint Algorithmic Differentiation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Weighted Sensitivity = RW x s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Hedging disallowance parameter = 0.01 (MAR50.52)</w:t>
            </w:r>
          </w:p>
        </w:tc>
      </w:tr>
      <w:tr>
        <w:tc>
          <w:tcPr>
            <w:tcW w:type="dxa" w:w="4320"/>
          </w:tcPr>
          <w:p>
            <w:r>
              <w:t>RW_vega</w:t>
            </w:r>
          </w:p>
        </w:tc>
        <w:tc>
          <w:tcPr>
            <w:tcW w:type="dxa" w:w="4320"/>
          </w:tcPr>
          <w:p>
            <w:r>
              <w:t>Vega risk weight = 100% for all classes (MAR50.49)</w:t>
            </w:r>
          </w:p>
        </w:tc>
      </w:tr>
      <w:tr>
        <w:tc>
          <w:tcPr>
            <w:tcW w:type="dxa" w:w="4320"/>
          </w:tcPr>
          <w:p>
            <w:r>
              <w:t>EE(t)</w:t>
            </w:r>
          </w:p>
        </w:tc>
        <w:tc>
          <w:tcPr>
            <w:tcW w:type="dxa" w:w="4320"/>
          </w:tcPr>
          <w:p>
            <w:r>
              <w:t>Expected Exposure at time t (from IMM paths)</w:t>
            </w:r>
          </w:p>
        </w:tc>
      </w:tr>
      <w:tr>
        <w:tc>
          <w:tcPr>
            <w:tcW w:type="dxa" w:w="4320"/>
          </w:tcPr>
          <w:p>
            <w:r>
              <w:t>IMM</w:t>
            </w:r>
          </w:p>
        </w:tc>
        <w:tc>
          <w:tcPr>
            <w:tcW w:type="dxa" w:w="4320"/>
          </w:tcPr>
          <w:p>
            <w:r>
              <w:t>Internal Models Method (stochastic exposure simulation)</w:t>
            </w:r>
          </w:p>
        </w:tc>
      </w:tr>
      <w:tr>
        <w:tc>
          <w:tcPr>
            <w:tcW w:type="dxa" w:w="4320"/>
          </w:tcPr>
          <w:p>
            <w:r>
              <w:t>CSA</w:t>
            </w:r>
          </w:p>
        </w:tc>
        <w:tc>
          <w:tcPr>
            <w:tcW w:type="dxa" w:w="4320"/>
          </w:tcPr>
          <w:p>
            <w:r>
              <w:t>Credit Support Annex (collateral agreement)</w:t>
            </w:r>
          </w:p>
        </w:tc>
      </w:tr>
    </w:tbl>
    <w:p>
      <w:pPr>
        <w:pStyle w:val="Heading2"/>
        <w:jc w:val="left"/>
      </w:pPr>
      <w:r>
        <w:t>Appendix A — CCSR Delta: IRS Counterparty</w:t>
      </w:r>
    </w:p>
    <w:p>
      <w:r>
        <w:rPr>
          <w:b/>
        </w:rPr>
        <w:t>Setup:</w:t>
      </w:r>
      <w:r>
        <w:t xml:space="preserve"> Bank A (Financials, IG), EAD = USD 50M, 3Y maturity, CDS spread = 85bps, LGD = 60%.</w:t>
      </w:r>
    </w:p>
    <w:p>
      <w:r>
        <w:t>CCSR is the primary CVA risk for most OTC derivative portfolios.</w:t>
      </w:r>
    </w:p>
    <w:p>
      <w:r>
        <w:t>spread   = 85 / 10000 = 0.0085</w:t>
      </w:r>
    </w:p>
    <w:p>
      <w:r>
        <w:t>M_eff    = (1 - exp(-0.043 x 3)) / (0.043 x 3) = 0.9380</w:t>
      </w:r>
    </w:p>
    <w:p>
      <w:r>
        <w:t>LGD      = 0.60</w:t>
      </w:r>
    </w:p>
    <w:p>
      <w:r>
        <w:t>delta_ccsr = EAD x M_eff x LGD</w:t>
      </w:r>
    </w:p>
    <w:p>
      <w:r>
        <w:t>= 50,000,000 x 0.9380 x 0.60</w:t>
      </w:r>
    </w:p>
    <w:p>
      <w:r>
        <w:t>= USD 28,140,000   [USD per unit spread]</w:t>
      </w:r>
    </w:p>
    <w:p>
      <w:r>
        <w:t>RW_ccsr (Financials, IG, Bucket 2) = 1.0%</w:t>
      </w:r>
    </w:p>
    <w:p>
      <w:r>
        <w:t>WS_ccsr = 0.010 x 28,140,000 = USD 281,400</w:t>
      </w:r>
    </w:p>
    <w:p>
      <w:r>
        <w:t>rwa_ccsr = 281,400 x 12.5 = USD 3,517,500</w:t>
      </w:r>
    </w:p>
    <w:p>
      <w:pPr>
        <w:pStyle w:val="Heading2"/>
        <w:jc w:val="left"/>
      </w:pPr>
      <w:r>
        <w:t>Appendix B — GIRR Delta: CVA Sensitivity to SOFR Curve</w:t>
      </w:r>
    </w:p>
    <w:p>
      <w:r>
        <w:rPr>
          <w:b/>
        </w:rPr>
        <w:t>Setup:</w:t>
      </w:r>
      <w:r>
        <w:t xml:space="preserve"> Same Bank A IRS portfolio. CVA depends on SOFR curve through discount factors.</w:t>
      </w:r>
    </w:p>
    <w:p>
      <w:r>
        <w:t>First-order GIRR sensitivity (per 1bp bump of SOFR):</w:t>
      </w:r>
    </w:p>
    <w:p>
      <w:r>
        <w:t>delta_girr_3Y = dCVA / d(SOFR_3Y)</w:t>
      </w:r>
    </w:p>
    <w:p>
      <w:r>
        <w:t>For a fixed-maturity, CCSR-dominated portfolio, the GIRR sensitivity approximation:</w:t>
      </w:r>
    </w:p>
    <w:p>
      <w:r>
        <w:t>delta_girr_t = -PD(t) x LGD x EE(t) x t x DF(t)</w:t>
      </w:r>
    </w:p>
    <w:p>
      <w:r>
        <w:t>For t = 3Y, DF(3Y) = exp(-0.043 x 3) = 0.8788:</w:t>
      </w:r>
    </w:p>
    <w:p>
      <w:r>
        <w:t>Approximate dCVA/d(SOFR_3Y) = -0.02 x 0.60 x 50,000,000 x 3 x 0.8788</w:t>
      </w:r>
    </w:p>
    <w:p>
      <w:r>
        <w:t>= USD -1,582,800   [negative: higher rates -&gt; lower CVA]</w:t>
      </w:r>
    </w:p>
    <w:p>
      <w:r>
        <w:t>WS_girr = RW_3Y x |delta_girr| = 0.012 x 1,582,800 = USD 18,994</w:t>
      </w:r>
    </w:p>
    <w:p>
      <w:r>
        <w:t>rwa_girr = 18,994 x 12.5 = USD 237,425</w:t>
      </w:r>
    </w:p>
    <w:p>
      <w:r>
        <w:t>This is approximately 7% of the CCSR contribution — confirming CCSR dominates for most</w:t>
      </w:r>
    </w:p>
    <w:p>
      <w:r>
        <w:t>plain vanilla IRS portfolios. GIRR becomes material for long-dated portfolios and when the</w:t>
      </w:r>
    </w:p>
    <w:p>
      <w:r>
        <w:t>bank uses extensive IR risk management.</w:t>
      </w:r>
    </w:p>
    <w:p>
      <w:pPr>
        <w:pStyle w:val="Heading2"/>
        <w:jc w:val="left"/>
      </w:pPr>
      <w:r>
        <w:t>Appendix C — Equity Delta: TRS Counterparty</w:t>
      </w:r>
    </w:p>
    <w:p>
      <w:r>
        <w:rPr>
          <w:b/>
        </w:rPr>
        <w:t>Setup:</w:t>
      </w:r>
      <w:r>
        <w:t xml:space="preserve"> Counterparty B is a hedge fund with whom the bank has a total return swap (TRS)</w:t>
      </w:r>
    </w:p>
    <w:p>
      <w:r>
        <w:t>on a tech stock index. EAD = USD 20M, credit quality HY (BB rating), sector = Technology.</w:t>
      </w:r>
    </w:p>
    <w:p>
      <w:r>
        <w:t>delta_eq = dCVA / d(S_tech_index)</w:t>
      </w:r>
    </w:p>
    <w:p>
      <w:r>
        <w:t>~ (dEE/dS) x LGD x PD x DF   [first-order]</w:t>
      </w:r>
    </w:p>
    <w:p>
      <w:r>
        <w:t>If EE scales linearly with tech index (TRS), dEE/dS ~ EAD / S_tech:</w:t>
      </w:r>
    </w:p>
    <w:p>
      <w:r>
        <w:t>delta_eq ~ (20,000,000 / 5000) x 0.60 x 0.03 x 0.88</w:t>
      </w:r>
    </w:p>
    <w:p>
      <w:r>
        <w:t>~ 4000 x 0.0158</w:t>
      </w:r>
    </w:p>
    <w:p>
      <w:r>
        <w:t>~ USD 63.2 per index point</w:t>
      </w:r>
    </w:p>
    <w:p>
      <w:r>
        <w:t>For 100-point shock on index:</w:t>
      </w:r>
    </w:p>
    <w:p>
      <w:r>
        <w:t>delta_eq_100pt = USD 6,320</w:t>
      </w:r>
    </w:p>
    <w:p>
      <w:r>
        <w:t>RW_eq (Technology, HY, Bucket 5) = 5.5% (Table 7)</w:t>
      </w:r>
    </w:p>
    <w:p>
      <w:r>
        <w:t>WS_eq = 0.055 x 6,320 = USD 347.6</w:t>
      </w:r>
    </w:p>
    <w:p>
      <w:r>
        <w:t>Equity contribution is typically small relative to CCSR for TRS counterparties unless the</w:t>
      </w:r>
    </w:p>
    <w:p>
      <w:r>
        <w:t>portfolio is very large or dominated by equity-sensitive instruments.</w:t>
      </w:r>
    </w:p>
    <w:p>
      <w:pPr>
        <w:pStyle w:val="Heading2"/>
        <w:jc w:val="left"/>
      </w:pPr>
      <w:r>
        <w:t>Appendix D — Cross-Risk-Class Aggregation</w:t>
      </w:r>
    </w:p>
    <w:p>
      <w:r>
        <w:rPr>
          <w:b/>
        </w:rPr>
        <w:t>Portfolio:</w:t>
      </w:r>
      <w:r>
        <w:t xml:space="preserve"> Three counterparties contributing to different risk classes.</w:t>
      </w:r>
    </w:p>
    <w:p>
      <w:r>
        <w:t>K_GIRR  = USD 237,425   (from Appendix B)</w:t>
      </w:r>
    </w:p>
    <w:p>
      <w:r>
        <w:t>K_CCSR  = USD 281,400   (from Appendix A)</w:t>
      </w:r>
    </w:p>
    <w:p>
      <w:r>
        <w:t>K_EQ    = USD 347.6     (from Appendix C, scaled)</w:t>
      </w:r>
    </w:p>
    <w:p>
      <w:r>
        <w:t>For simplicity, assume K_RCSR = K_FX = K_CMDTY = 0.</w:t>
      </w:r>
    </w:p>
    <w:p>
      <w:pPr>
        <w:pStyle w:val="Heading3"/>
        <w:jc w:val="left"/>
      </w:pPr>
      <w:r>
        <w:t>Aggregation</w:t>
      </w:r>
    </w:p>
    <w:p>
      <w:r>
        <w:t>Total_Delta = sqrt(K_GIRR^2 + K_CCSR^2 + K_EQ^2 +</w:t>
      </w:r>
    </w:p>
    <w:p>
      <w:r>
        <w:t>2 x rho_GIRR_CCSR x K_GIRR x K_CCSR +</w:t>
      </w:r>
    </w:p>
    <w:p>
      <w:r>
        <w:t>2 x rho_GIRR_EQ   x K_GIRR x K_EQ   +</w:t>
      </w:r>
    </w:p>
    <w:p>
      <w:r>
        <w:t>2 x rho_CCSR_EQ   x K_CCSR x K_EQ)</w:t>
      </w:r>
    </w:p>
    <w:p>
      <w:r>
        <w:t>= sqrt(237425^2 + 281400^2 + 348^2 +</w:t>
      </w:r>
    </w:p>
    <w:p>
      <w:r>
        <w:t>2 x 0.40 x 237425 x 281400 +</w:t>
      </w:r>
    </w:p>
    <w:p>
      <w:r>
        <w:t>2 x 0.20 x 237425 x 348 +</w:t>
      </w:r>
    </w:p>
    <w:p>
      <w:r>
        <w:t>2 x 0.45 x 281400 x 348)</w:t>
      </w:r>
    </w:p>
    <w:p>
      <w:r>
        <w:t>= sqrt(56,410,830,625 + 79,185,960,000 + 121,104 +</w:t>
      </w:r>
    </w:p>
    <w:p>
      <w:r>
        <w:t>53,544,960,000 + 33,074,880 + 88,055,280)</w:t>
      </w:r>
    </w:p>
    <w:p>
      <w:r>
        <w:t>= sqrt(189,262,901,889)</w:t>
      </w:r>
    </w:p>
    <w:p>
      <w:r>
        <w:t>~ USD 435,044</w:t>
      </w:r>
    </w:p>
    <w:p>
      <w:r>
        <w:t>RWA = 435,044 x 12.5 = USD 5,438,050</w:t>
      </w:r>
    </w:p>
    <w:p>
      <w:r>
        <w:t>For comparison: CCSR-only RWA = USD 3,517,500. Including GIRR adds USD 1.9M (55% increase).</w:t>
      </w:r>
    </w:p>
    <w:p>
      <w:r>
        <w:t>The rho_GIRR_CCSR = 0.40 correlation means GIRR and CCSR do not fully diversify away.</w:t>
      </w:r>
    </w:p>
    <w:p>
      <w:pPr>
        <w:pStyle w:val="Heading2"/>
        <w:jc w:val="left"/>
      </w:pPr>
      <w:r>
        <w:t>Appendix E — AAD vs Bump-and-Reprice</w:t>
      </w:r>
    </w:p>
    <w:p>
      <w:pPr>
        <w:pStyle w:val="Heading3"/>
        <w:jc w:val="left"/>
      </w:pPr>
      <w:r>
        <w:t>Computational Complexity Comparison</w:t>
      </w:r>
    </w:p>
    <w:p>
      <w:r>
        <w:t>For N = 100,000 paths, n_factors = 500 risk factors per counterparty, 200 counterparties: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Total Valuations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Approximate Time</w:t>
            </w:r>
          </w:p>
        </w:tc>
      </w:tr>
      <w:tr>
        <w:tc>
          <w:tcPr>
            <w:tcW w:type="dxa" w:w="2880"/>
          </w:tcPr>
          <w:p>
            <w:r>
              <w:t>Bump-and-reprice</w:t>
            </w:r>
          </w:p>
        </w:tc>
        <w:tc>
          <w:tcPr>
            <w:tcW w:type="dxa" w:w="2880"/>
          </w:tcPr>
          <w:p>
            <w:r>
              <w:t>N x n_factors x 200 = 10 billion</w:t>
            </w:r>
          </w:p>
        </w:tc>
        <w:tc>
          <w:tcPr>
            <w:tcW w:type="dxa" w:w="2880"/>
          </w:tcPr>
          <w:p>
            <w:r>
              <w:t>Days</w:t>
            </w:r>
          </w:p>
        </w:tc>
      </w:tr>
      <w:tr>
        <w:tc>
          <w:tcPr>
            <w:tcW w:type="dxa" w:w="2880"/>
          </w:tcPr>
          <w:p>
            <w:r>
              <w:t>AAD</w:t>
            </w:r>
          </w:p>
        </w:tc>
        <w:tc>
          <w:tcPr>
            <w:tcW w:type="dxa" w:w="2880"/>
          </w:tcPr>
          <w:p>
            <w:r>
              <w:t>N x 200 (single forward + backward pass)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</w:tr>
    </w:tbl>
    <w:p>
      <w:pPr>
        <w:pStyle w:val="Heading3"/>
        <w:jc w:val="left"/>
      </w:pPr>
      <w:r>
        <w:t>AAD Algorithm for CVA</w:t>
      </w:r>
    </w:p>
    <w:p>
      <w:r>
        <w:t>Forward pass:  Compute CVA_c(path) and build computation graph</w:t>
      </w:r>
    </w:p>
    <w:p>
      <w:r>
        <w:t>Backward pass: Propagate dL/dCVA_c = 1 backward through graph</w:t>
      </w:r>
    </w:p>
    <w:p>
      <w:r>
        <w:t>Extract dCVA_c/dr_k for all risk factors k simultaneously</w:t>
      </w:r>
    </w:p>
    <w:p>
      <w:pPr>
        <w:pStyle w:val="Heading3"/>
        <w:jc w:val="left"/>
      </w:pPr>
      <w:r>
        <w:t>Production Recommendation</w:t>
      </w:r>
    </w:p>
    <w:p>
      <w:pPr>
        <w:pStyle w:val="ListNumber"/>
      </w:pPr>
      <w:r>
        <w:t>Implement AAD in the Monte Carlo exposure engine (IMM)</w:t>
      </w:r>
    </w:p>
    <w:p>
      <w:pPr>
        <w:pStyle w:val="ListNumber"/>
      </w:pPr>
      <w:r>
        <w:t>Extract sensitivities at the path level; aggregate to portfolio level</w:t>
      </w:r>
    </w:p>
    <w:p>
      <w:pPr>
        <w:pStyle w:val="ListNumber"/>
      </w:pPr>
      <w:r>
        <w:t>Apply RW and bucket aggregation per MAR50</w:t>
      </w:r>
    </w:p>
    <w:p>
      <w:pPr>
        <w:pStyle w:val="ListNumber"/>
      </w:pPr>
      <w:r>
        <w:t>Combine CCSR (closed-form from cva.py) with AAD-derived GIRR/FX/EQ/CMDTY sensitivities</w:t>
      </w:r>
    </w:p>
    <w:p>
      <w:r>
        <w:t>The closed-form CCSR approximation in cva.py remains valid as a baseline; full AAD</w:t>
      </w:r>
    </w:p>
    <w:p>
      <w:r>
        <w:t>replaces it for the complete SA-CVA implementation.</w:t>
      </w:r>
    </w:p>
    <w:p/>
    <w:p>
      <w:pPr>
        <w:ind w:left="720"/>
      </w:pPr>
      <w:r>
        <w:rPr>
          <w:i/>
        </w:rPr>
        <w:t>Source: CVA_SENSITIVITIES_TECHNICAL_GUIDE.md</w:t>
        <w:br/>
      </w:r>
      <w:r>
        <w:rPr>
          <w:i/>
        </w:rPr>
        <w:t>Generated: 2026-05-03 18:06:20</w:t>
        <w:br/>
      </w:r>
      <w:r>
        <w:rPr>
          <w:i/>
        </w:rPr>
        <w:t>Prometheus Phase 2A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