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Prometheus Requirements Documentation</w:t>
      </w:r>
    </w:p>
    <w:p>
      <w:pPr>
        <w:pStyle w:val="Heading1"/>
        <w:jc w:val="left"/>
      </w:pPr>
      <w:r>
        <w:t>PROMETHEUS Data Requirements Document</w:t>
      </w:r>
    </w:p>
    <w:p>
      <w:pPr>
        <w:pStyle w:val="Heading2"/>
        <w:jc w:val="left"/>
      </w:pPr>
      <w:r>
        <w:t>Phase 2A: Data Architecture, Quality, &amp; Lineage</w:t>
      </w:r>
    </w:p>
    <w:p>
      <w:r>
        <w:rPr>
          <w:b/>
        </w:rPr>
        <w:t>Version:</w:t>
      </w:r>
      <w:r>
        <w:t xml:space="preserve"> 2.1</w:t>
      </w:r>
    </w:p>
    <w:p>
      <w:r>
        <w:rPr>
          <w:b/>
        </w:rPr>
        <w:t>Date:</w:t>
      </w:r>
      <w:r>
        <w:t xml:space="preserve"> May 1, 2026</w:t>
      </w:r>
    </w:p>
    <w:p>
      <w:r>
        <w:rPr>
          <w:b/>
        </w:rPr>
        <w:t>Status:</w:t>
      </w:r>
      <w:r>
        <w:t xml:space="preserve"> ✅ APPROVED FOR IMPLEMENTATION</w:t>
      </w:r>
    </w:p>
    <w:p>
      <w:r>
        <w:rPr>
          <w:b/>
        </w:rPr>
        <w:t>Prepared By:</w:t>
      </w:r>
      <w:r>
        <w:t xml:space="preserve"> Data Architecture &amp; Governance Teams</w:t>
      </w:r>
    </w:p>
    <w:p>
      <w:pPr>
        <w:pStyle w:val="Heading2"/>
        <w:jc w:val="left"/>
      </w:pPr>
      <w:r>
        <w:t>Executive Summary</w:t>
      </w:r>
    </w:p>
    <w:p>
      <w:r>
        <w:t>This document defines all data requirements for PROMETHEUS Phase 2A, including input data sources, data quality standards, data lineage/governance, and the daily DQ scorecard framework (FR-016).</w:t>
      </w:r>
    </w:p>
    <w:p>
      <w:pPr>
        <w:pStyle w:val="Heading2"/>
        <w:jc w:val="left"/>
      </w:pPr>
      <w:r>
        <w:t>1. Input Data Sources</w:t>
      </w:r>
    </w:p>
    <w:p>
      <w:pPr>
        <w:pStyle w:val="Heading3"/>
        <w:jc w:val="left"/>
      </w:pPr>
      <w:r>
        <w:t>1.1 Portfolio Data (Daily, T+0)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Refresh Frequency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SLA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Volume</w:t>
            </w:r>
          </w:p>
        </w:tc>
      </w:tr>
      <w:tr>
        <w:tc>
          <w:tcPr>
            <w:tcW w:type="dxa" w:w="1728"/>
          </w:tcPr>
          <w:p>
            <w:r>
              <w:t>Core Banking System</w:t>
            </w:r>
          </w:p>
        </w:tc>
        <w:tc>
          <w:tcPr>
            <w:tcW w:type="dxa" w:w="1728"/>
          </w:tcPr>
          <w:p>
            <w:r>
              <w:t>Daily (6:00 AM PT)</w:t>
            </w:r>
          </w:p>
        </w:tc>
        <w:tc>
          <w:tcPr>
            <w:tcW w:type="dxa" w:w="1728"/>
          </w:tcPr>
          <w:p>
            <w:r>
              <w:t>T+0</w:t>
            </w:r>
          </w:p>
        </w:tc>
        <w:tc>
          <w:tcPr>
            <w:tcW w:type="dxa" w:w="1728"/>
          </w:tcPr>
          <w:p>
            <w:r>
              <w:t>CSV/Parquet</w:t>
            </w:r>
          </w:p>
        </w:tc>
        <w:tc>
          <w:tcPr>
            <w:tcW w:type="dxa" w:w="1728"/>
          </w:tcPr>
          <w:p>
            <w:r>
              <w:t>500M+ rows</w:t>
            </w:r>
          </w:p>
        </w:tc>
      </w:tr>
      <w:tr>
        <w:tc>
          <w:tcPr>
            <w:tcW w:type="dxa" w:w="1728"/>
          </w:tcPr>
          <w:p>
            <w:r>
              <w:t>CIB Risk System</w:t>
            </w:r>
          </w:p>
        </w:tc>
        <w:tc>
          <w:tcPr>
            <w:tcW w:type="dxa" w:w="1728"/>
          </w:tcPr>
          <w:p>
            <w:r>
              <w:t>Daily (6:15 AM PT)</w:t>
            </w:r>
          </w:p>
        </w:tc>
        <w:tc>
          <w:tcPr>
            <w:tcW w:type="dxa" w:w="1728"/>
          </w:tcPr>
          <w:p>
            <w:r>
              <w:t>T+0</w:t>
            </w:r>
          </w:p>
        </w:tc>
        <w:tc>
          <w:tcPr>
            <w:tcW w:type="dxa" w:w="1728"/>
          </w:tcPr>
          <w:p>
            <w:r>
              <w:t>SQL dump</w:t>
            </w:r>
          </w:p>
        </w:tc>
        <w:tc>
          <w:tcPr>
            <w:tcW w:type="dxa" w:w="1728"/>
          </w:tcPr>
          <w:p>
            <w:r>
              <w:t>10M positions</w:t>
            </w:r>
          </w:p>
        </w:tc>
      </w:tr>
      <w:tr>
        <w:tc>
          <w:tcPr>
            <w:tcW w:type="dxa" w:w="1728"/>
          </w:tcPr>
          <w:p>
            <w:r>
              <w:t>Operations DB</w:t>
            </w:r>
          </w:p>
        </w:tc>
        <w:tc>
          <w:tcPr>
            <w:tcW w:type="dxa" w:w="1728"/>
          </w:tcPr>
          <w:p>
            <w:r>
              <w:t>Daily (6:30 AM PT)</w:t>
            </w:r>
          </w:p>
        </w:tc>
        <w:tc>
          <w:tcPr>
            <w:tcW w:type="dxa" w:w="1728"/>
          </w:tcPr>
          <w:p>
            <w:r>
              <w:t>T+0</w:t>
            </w:r>
          </w:p>
        </w:tc>
        <w:tc>
          <w:tcPr>
            <w:tcW w:type="dxa" w:w="1728"/>
          </w:tcPr>
          <w:p>
            <w:r>
              <w:t>Delta table</w:t>
            </w:r>
          </w:p>
        </w:tc>
        <w:tc>
          <w:tcPr>
            <w:tcW w:type="dxa" w:w="1728"/>
          </w:tcPr>
          <w:p>
            <w:r>
              <w:t>50M records</w:t>
            </w:r>
          </w:p>
        </w:tc>
      </w:tr>
    </w:tbl>
    <w:p>
      <w:r>
        <w:rPr>
          <w:b/>
        </w:rPr>
        <w:t>Key Portfolio Fields: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position_id (PK)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obligor_id (FK)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counterparty_id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asset_class (CORP, RETAIL_MORT, BANK, SOVEREIGN, HVCRE, RETAIL_REV)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sector (Industrials, Financials, Energy, Healthcare, etc.)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ead (Exposure at Default in USD)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pd (Probability of Default, 0.03%–100%)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lgd (Loss Given Default, 0–100%)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maturity_years (1–5 years, per CRE31.7)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collateral_type (FINANCIAL, RECEIVABLES, RE_RES, RE_COM, etc.)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collateral_value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guarantee_id (if applicable)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cds_hedge_id (if applicable)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climate_brown_factor (0–1, Phase 2A new)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esg_score (0–100, Phase 2A new)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valuation_date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entry_date</w:t>
      </w:r>
    </w:p>
    <w:p>
      <w:r>
        <w:rPr>
          <w:b/>
        </w:rPr>
        <w:t>Data Quality Targets:</w:t>
      </w:r>
    </w:p>
    <w:p>
      <w:pPr>
        <w:pStyle w:val="ListBullet"/>
      </w:pPr>
      <w:r>
        <w:t>**Completeness:** &gt;99% of rows have all required fields</w:t>
      </w:r>
    </w:p>
    <w:p>
      <w:pPr>
        <w:pStyle w:val="ListBullet"/>
      </w:pPr>
      <w:r>
        <w:t>**Timeliness:** Received by 6:00 AM PT, processed by 6:30 AM PT</w:t>
      </w:r>
    </w:p>
    <w:p>
      <w:pPr>
        <w:pStyle w:val="ListBullet"/>
      </w:pPr>
      <w:r>
        <w:t>**Accuracy:** Reconciliation &lt;0.1% variance to source system</w:t>
      </w:r>
    </w:p>
    <w:p>
      <w:pPr>
        <w:pStyle w:val="Heading3"/>
        <w:jc w:val="left"/>
      </w:pPr>
      <w:r>
        <w:t>1.2 Market Data (Intra-day)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Data Point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Fallback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Use Case</w:t>
            </w:r>
          </w:p>
        </w:tc>
      </w:tr>
      <w:tr>
        <w:tc>
          <w:tcPr>
            <w:tcW w:type="dxa" w:w="1728"/>
          </w:tcPr>
          <w:p>
            <w:r>
              <w:t>**SOFR**</w:t>
            </w:r>
          </w:p>
        </w:tc>
        <w:tc>
          <w:tcPr>
            <w:tcW w:type="dxa" w:w="1728"/>
          </w:tcPr>
          <w:p>
            <w:r>
              <w:t>FRED SOFR</w:t>
            </w:r>
          </w:p>
        </w:tc>
        <w:tc>
          <w:tcPr>
            <w:tcW w:type="dxa" w:w="1728"/>
          </w:tcPr>
          <w:p>
            <w:r>
              <w:t>Hourly</w:t>
            </w:r>
          </w:p>
        </w:tc>
        <w:tc>
          <w:tcPr>
            <w:tcW w:type="dxa" w:w="1728"/>
          </w:tcPr>
          <w:p>
            <w:r>
              <w:t>Previous close</w:t>
            </w:r>
          </w:p>
        </w:tc>
        <w:tc>
          <w:tcPr>
            <w:tcW w:type="dxa" w:w="1728"/>
          </w:tcPr>
          <w:p>
            <w:r>
              <w:t>Risk-free rate for discounting</w:t>
            </w:r>
          </w:p>
        </w:tc>
      </w:tr>
      <w:tr>
        <w:tc>
          <w:tcPr>
            <w:tcW w:type="dxa" w:w="1728"/>
          </w:tcPr>
          <w:p>
            <w:r>
              <w:t>**Credit Spreads (IG)**</w:t>
            </w:r>
          </w:p>
        </w:tc>
        <w:tc>
          <w:tcPr>
            <w:tcW w:type="dxa" w:w="1728"/>
          </w:tcPr>
          <w:p>
            <w:r>
              <w:t>Bloomberg CDX IG / FRED BAMLC0A0CM</w:t>
            </w:r>
          </w:p>
        </w:tc>
        <w:tc>
          <w:tcPr>
            <w:tcW w:type="dxa" w:w="1728"/>
          </w:tcPr>
          <w:p>
            <w:r>
              <w:t>Hourly</w:t>
            </w:r>
          </w:p>
        </w:tc>
        <w:tc>
          <w:tcPr>
            <w:tcW w:type="dxa" w:w="1728"/>
          </w:tcPr>
          <w:p>
            <w:r>
              <w:t>Previous close</w:t>
            </w:r>
          </w:p>
        </w:tc>
        <w:tc>
          <w:tcPr>
            <w:tcW w:type="dxa" w:w="1728"/>
          </w:tcPr>
          <w:p>
            <w:r>
              <w:t>BA-CVA spread</w:t>
            </w:r>
          </w:p>
        </w:tc>
      </w:tr>
      <w:tr>
        <w:tc>
          <w:tcPr>
            <w:tcW w:type="dxa" w:w="1728"/>
          </w:tcPr>
          <w:p>
            <w:r>
              <w:t>**Credit Spreads (HY)**</w:t>
            </w:r>
          </w:p>
        </w:tc>
        <w:tc>
          <w:tcPr>
            <w:tcW w:type="dxa" w:w="1728"/>
          </w:tcPr>
          <w:p>
            <w:r>
              <w:t>Bloomberg CDX HY / FRED BAMLH0A0HYM2</w:t>
            </w:r>
          </w:p>
        </w:tc>
        <w:tc>
          <w:tcPr>
            <w:tcW w:type="dxa" w:w="1728"/>
          </w:tcPr>
          <w:p>
            <w:r>
              <w:t>Hourly</w:t>
            </w:r>
          </w:p>
        </w:tc>
        <w:tc>
          <w:tcPr>
            <w:tcW w:type="dxa" w:w="1728"/>
          </w:tcPr>
          <w:p>
            <w:r>
              <w:t>Previous close</w:t>
            </w:r>
          </w:p>
        </w:tc>
        <w:tc>
          <w:tcPr>
            <w:tcW w:type="dxa" w:w="1728"/>
          </w:tcPr>
          <w:p>
            <w:r>
              <w:t>BA-CVA spread</w:t>
            </w:r>
          </w:p>
        </w:tc>
      </w:tr>
      <w:tr>
        <w:tc>
          <w:tcPr>
            <w:tcW w:type="dxa" w:w="1728"/>
          </w:tcPr>
          <w:p>
            <w:r>
              <w:t>**VIX**</w:t>
            </w:r>
          </w:p>
        </w:tc>
        <w:tc>
          <w:tcPr>
            <w:tcW w:type="dxa" w:w="1728"/>
          </w:tcPr>
          <w:p>
            <w:r>
              <w:t>CBOE / yfinance</w:t>
            </w:r>
          </w:p>
        </w:tc>
        <w:tc>
          <w:tcPr>
            <w:tcW w:type="dxa" w:w="1728"/>
          </w:tcPr>
          <w:p>
            <w:r>
              <w:t>15-min delayed</w:t>
            </w:r>
          </w:p>
        </w:tc>
        <w:tc>
          <w:tcPr>
            <w:tcW w:type="dxa" w:w="1728"/>
          </w:tcPr>
          <w:p>
            <w:r>
              <w:t>20 (static)</w:t>
            </w:r>
          </w:p>
        </w:tc>
        <w:tc>
          <w:tcPr>
            <w:tcW w:type="dxa" w:w="1728"/>
          </w:tcPr>
          <w:p>
            <w:r>
              <w:t>Macro overlay</w:t>
            </w:r>
          </w:p>
        </w:tc>
      </w:tr>
      <w:tr>
        <w:tc>
          <w:tcPr>
            <w:tcW w:type="dxa" w:w="1728"/>
          </w:tcPr>
          <w:p>
            <w:r>
              <w:t>**Unemployment**</w:t>
            </w:r>
          </w:p>
        </w:tc>
        <w:tc>
          <w:tcPr>
            <w:tcW w:type="dxa" w:w="1728"/>
          </w:tcPr>
          <w:p>
            <w:r>
              <w:t>FRED UNRATE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Previous month</w:t>
            </w:r>
          </w:p>
        </w:tc>
        <w:tc>
          <w:tcPr>
            <w:tcW w:type="dxa" w:w="1728"/>
          </w:tcPr>
          <w:p>
            <w:r>
              <w:t>Macro overlay</w:t>
            </w:r>
          </w:p>
        </w:tc>
      </w:tr>
      <w:tr>
        <w:tc>
          <w:tcPr>
            <w:tcW w:type="dxa" w:w="1728"/>
          </w:tcPr>
          <w:p>
            <w:r>
              <w:t>**Treasury Yields**</w:t>
            </w:r>
          </w:p>
        </w:tc>
        <w:tc>
          <w:tcPr>
            <w:tcW w:type="dxa" w:w="1728"/>
          </w:tcPr>
          <w:p>
            <w:r>
              <w:t>FRED T10Y2Y</w:t>
            </w:r>
          </w:p>
        </w:tc>
        <w:tc>
          <w:tcPr>
            <w:tcW w:type="dxa" w:w="1728"/>
          </w:tcPr>
          <w:p>
            <w:r>
              <w:t>Hourly</w:t>
            </w:r>
          </w:p>
        </w:tc>
        <w:tc>
          <w:tcPr>
            <w:tcW w:type="dxa" w:w="1728"/>
          </w:tcPr>
          <w:p>
            <w:r>
              <w:t>Previous close</w:t>
            </w:r>
          </w:p>
        </w:tc>
        <w:tc>
          <w:tcPr>
            <w:tcW w:type="dxa" w:w="1728"/>
          </w:tcPr>
          <w:p>
            <w:r>
              <w:t>Stress indicators</w:t>
            </w:r>
          </w:p>
        </w:tc>
      </w:tr>
    </w:tbl>
    <w:p>
      <w:r>
        <w:rPr>
          <w:b/>
        </w:rPr>
        <w:t>DQ Requirements:</w:t>
      </w:r>
    </w:p>
    <w:p>
      <w:pPr>
        <w:pStyle w:val="ListBullet"/>
      </w:pPr>
      <w:r>
        <w:t>**Latency:** SOFR/spreads updated within 1 hour of release</w:t>
      </w:r>
    </w:p>
    <w:p>
      <w:pPr>
        <w:pStyle w:val="ListBullet"/>
      </w:pPr>
      <w:r>
        <w:t>**Completeness:** 100% coverage of required rates</w:t>
      </w:r>
    </w:p>
    <w:p>
      <w:pPr>
        <w:pStyle w:val="ListBullet"/>
      </w:pPr>
      <w:r>
        <w:t>**Consistency:** Cross-validate Bloomberg vs FRED (tolerance: ±5 bps for spreads)</w:t>
      </w:r>
    </w:p>
    <w:p>
      <w:pPr>
        <w:pStyle w:val="Heading3"/>
        <w:jc w:val="left"/>
      </w:pPr>
      <w:r>
        <w:t>1.3 ESG/Climate Data (Monthly)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ESG Dimension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Lag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Compliance Link</w:t>
            </w:r>
          </w:p>
        </w:tc>
      </w:tr>
      <w:tr>
        <w:tc>
          <w:tcPr>
            <w:tcW w:type="dxa" w:w="1728"/>
          </w:tcPr>
          <w:p>
            <w:r>
              <w:t>**Emissions**</w:t>
            </w:r>
          </w:p>
        </w:tc>
        <w:tc>
          <w:tcPr>
            <w:tcW w:type="dxa" w:w="1728"/>
          </w:tcPr>
          <w:p>
            <w:r>
              <w:t>MSCI ESG DB / internal scoring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2 months</w:t>
            </w:r>
          </w:p>
        </w:tc>
        <w:tc>
          <w:tcPr>
            <w:tcW w:type="dxa" w:w="1728"/>
          </w:tcPr>
          <w:p>
            <w:r>
              <w:t>CRR3 Art. 87a</w:t>
            </w:r>
          </w:p>
        </w:tc>
      </w:tr>
      <w:tr>
        <w:tc>
          <w:tcPr>
            <w:tcW w:type="dxa" w:w="1728"/>
          </w:tcPr>
          <w:p>
            <w:r>
              <w:t>**Governance**</w:t>
            </w:r>
          </w:p>
        </w:tc>
        <w:tc>
          <w:tcPr>
            <w:tcW w:type="dxa" w:w="1728"/>
          </w:tcPr>
          <w:p>
            <w:r>
              <w:t>S&amp;P CreditWise / internal</w:t>
            </w:r>
          </w:p>
        </w:tc>
        <w:tc>
          <w:tcPr>
            <w:tcW w:type="dxa" w:w="1728"/>
          </w:tcPr>
          <w:p>
            <w:r>
              <w:t>Quarterly</w:t>
            </w:r>
          </w:p>
        </w:tc>
        <w:tc>
          <w:tcPr>
            <w:tcW w:type="dxa" w:w="1728"/>
          </w:tcPr>
          <w:p>
            <w:r>
              <w:t>1 quarter</w:t>
            </w:r>
          </w:p>
        </w:tc>
        <w:tc>
          <w:tcPr>
            <w:tcW w:type="dxa" w:w="1728"/>
          </w:tcPr>
          <w:p>
            <w:r>
              <w:t>Governance standard</w:t>
            </w:r>
          </w:p>
        </w:tc>
      </w:tr>
      <w:tr>
        <w:tc>
          <w:tcPr>
            <w:tcW w:type="dxa" w:w="1728"/>
          </w:tcPr>
          <w:p>
            <w:r>
              <w:t>**Board Composition**</w:t>
            </w:r>
          </w:p>
        </w:tc>
        <w:tc>
          <w:tcPr>
            <w:tcW w:type="dxa" w:w="1728"/>
          </w:tcPr>
          <w:p>
            <w:r>
              <w:t>BoardEx / internal</w:t>
            </w:r>
          </w:p>
        </w:tc>
        <w:tc>
          <w:tcPr>
            <w:tcW w:type="dxa" w:w="1728"/>
          </w:tcPr>
          <w:p>
            <w:r>
              <w:t>Annually</w:t>
            </w:r>
          </w:p>
        </w:tc>
        <w:tc>
          <w:tcPr>
            <w:tcW w:type="dxa" w:w="1728"/>
          </w:tcPr>
          <w:p>
            <w:r>
              <w:t>Annual</w:t>
            </w:r>
          </w:p>
        </w:tc>
        <w:tc>
          <w:tcPr>
            <w:tcW w:type="dxa" w:w="1728"/>
          </w:tcPr>
          <w:p>
            <w:r>
              <w:t>Governance standard</w:t>
            </w:r>
          </w:p>
        </w:tc>
      </w:tr>
      <w:tr>
        <w:tc>
          <w:tcPr>
            <w:tcW w:type="dxa" w:w="1728"/>
          </w:tcPr>
          <w:p>
            <w:r>
              <w:t>**Climate Taxonomy**</w:t>
            </w:r>
          </w:p>
        </w:tc>
        <w:tc>
          <w:tcPr>
            <w:tcW w:type="dxa" w:w="1728"/>
          </w:tcPr>
          <w:p>
            <w:r>
              <w:t>TCFD / internal mapping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30 days</w:t>
            </w:r>
          </w:p>
        </w:tc>
        <w:tc>
          <w:tcPr>
            <w:tcW w:type="dxa" w:w="1728"/>
          </w:tcPr>
          <w:p>
            <w:r>
              <w:t>Climate risk framework</w:t>
            </w:r>
          </w:p>
        </w:tc>
      </w:tr>
    </w:tbl>
    <w:p>
      <w:r>
        <w:rPr>
          <w:b/>
        </w:rPr>
        <w:t>ESG Scoring:</w:t>
      </w:r>
      <w:r>
        <w:t xml:space="preserve"> 0–100 scale</w:t>
      </w:r>
    </w:p>
    <w:p>
      <w:pPr>
        <w:pStyle w:val="ListBullet"/>
      </w:pPr>
      <w:r>
        <w:t>0–25: BROWN (high climate risk, weak governance)</w:t>
      </w:r>
    </w:p>
    <w:p>
      <w:pPr>
        <w:pStyle w:val="ListBullet"/>
      </w:pPr>
      <w:r>
        <w:t>26–50: AMBER (moderate climate risk)</w:t>
      </w:r>
    </w:p>
    <w:p>
      <w:pPr>
        <w:pStyle w:val="ListBullet"/>
      </w:pPr>
      <w:r>
        <w:t>51–75: NEUTRAL (transitioning)</w:t>
      </w:r>
    </w:p>
    <w:p>
      <w:pPr>
        <w:pStyle w:val="ListBullet"/>
      </w:pPr>
      <w:r>
        <w:t>76–100: GREEN (low climate risk, strong ESG)</w:t>
      </w:r>
    </w:p>
    <w:p>
      <w:r>
        <w:rPr>
          <w:b/>
        </w:rPr>
        <w:t>Climate PD Uplift (Fr-013):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PD_uplift = brown_factor × max_uplift[asset_class]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Where brown_factor = (100 - esg_score) / 100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(0 = green, 1 = brown)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And max_uplift[asset_class]: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CORP: 50 bps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RETAIL_MORT: 30 bps (flood risk)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HVCRE: 80 bps (stranded asset risk)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[etc.]</w:t>
      </w:r>
    </w:p>
    <w:p>
      <w:pPr>
        <w:pStyle w:val="Heading3"/>
        <w:jc w:val="left"/>
      </w:pPr>
      <w:r>
        <w:t>1.4 Regulatory Parameters (Quarterly Update)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Value (Current)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Update Frequency</w:t>
            </w:r>
          </w:p>
        </w:tc>
      </w:tr>
      <w:tr>
        <w:tc>
          <w:tcPr>
            <w:tcW w:type="dxa" w:w="2160"/>
          </w:tcPr>
          <w:p>
            <w:r>
              <w:t>**Output Floor Ratio**</w:t>
            </w:r>
          </w:p>
        </w:tc>
        <w:tc>
          <w:tcPr>
            <w:tcW w:type="dxa" w:w="2160"/>
          </w:tcPr>
          <w:p>
            <w:r>
              <w:t>0.725 (72.5%)</w:t>
            </w:r>
          </w:p>
        </w:tc>
        <w:tc>
          <w:tcPr>
            <w:tcW w:type="dxa" w:w="2160"/>
          </w:tcPr>
          <w:p>
            <w:r>
              <w:t>CRR3 Art. 12a</w:t>
            </w:r>
          </w:p>
        </w:tc>
        <w:tc>
          <w:tcPr>
            <w:tcW w:type="dxa" w:w="2160"/>
          </w:tcPr>
          <w:p>
            <w:r>
              <w:t>Per regulation</w:t>
            </w:r>
          </w:p>
        </w:tc>
      </w:tr>
      <w:tr>
        <w:tc>
          <w:tcPr>
            <w:tcW w:type="dxa" w:w="2160"/>
          </w:tcPr>
          <w:p>
            <w:r>
              <w:t>**Dynamic Relief Range**</w:t>
            </w:r>
          </w:p>
        </w:tc>
        <w:tc>
          <w:tcPr>
            <w:tcW w:type="dxa" w:w="2160"/>
          </w:tcPr>
          <w:p>
            <w:r>
              <w:t>50–100 bps</w:t>
            </w:r>
          </w:p>
        </w:tc>
        <w:tc>
          <w:tcPr>
            <w:tcW w:type="dxa" w:w="2160"/>
          </w:tcPr>
          <w:p>
            <w:r>
              <w:t>Internal calibration</w:t>
            </w:r>
          </w:p>
        </w:tc>
        <w:tc>
          <w:tcPr>
            <w:tcW w:type="dxa" w:w="2160"/>
          </w:tcPr>
          <w:p>
            <w:r>
              <w:t>Quarterly review</w:t>
            </w:r>
          </w:p>
        </w:tc>
      </w:tr>
      <w:tr>
        <w:tc>
          <w:tcPr>
            <w:tcW w:type="dxa" w:w="2160"/>
          </w:tcPr>
          <w:p>
            <w:r>
              <w:t>**N⁻¹(0.999)**</w:t>
            </w:r>
          </w:p>
        </w:tc>
        <w:tc>
          <w:tcPr>
            <w:tcW w:type="dxa" w:w="2160"/>
          </w:tcPr>
          <w:p>
            <w:r>
              <w:t>3.0902</w:t>
            </w:r>
          </w:p>
        </w:tc>
        <w:tc>
          <w:tcPr>
            <w:tcW w:type="dxa" w:w="2160"/>
          </w:tcPr>
          <w:p>
            <w:r>
              <w:t>Basel III formula</w:t>
            </w:r>
          </w:p>
        </w:tc>
        <w:tc>
          <w:tcPr>
            <w:tcW w:type="dxa" w:w="2160"/>
          </w:tcPr>
          <w:p>
            <w:r>
              <w:t>Static</w:t>
            </w:r>
          </w:p>
        </w:tc>
      </w:tr>
      <w:tr>
        <w:tc>
          <w:tcPr>
            <w:tcW w:type="dxa" w:w="2160"/>
          </w:tcPr>
          <w:p>
            <w:r>
              <w:t>**PD Floor**</w:t>
            </w:r>
          </w:p>
        </w:tc>
        <w:tc>
          <w:tcPr>
            <w:tcW w:type="dxa" w:w="2160"/>
          </w:tcPr>
          <w:p>
            <w:r>
              <w:t>0.03%</w:t>
            </w:r>
          </w:p>
        </w:tc>
        <w:tc>
          <w:tcPr>
            <w:tcW w:type="dxa" w:w="2160"/>
          </w:tcPr>
          <w:p>
            <w:r>
              <w:t>CRE31.5</w:t>
            </w:r>
          </w:p>
        </w:tc>
        <w:tc>
          <w:tcPr>
            <w:tcW w:type="dxa" w:w="2160"/>
          </w:tcPr>
          <w:p>
            <w:r>
              <w:t>Static</w:t>
            </w:r>
          </w:p>
        </w:tc>
      </w:tr>
      <w:tr>
        <w:tc>
          <w:tcPr>
            <w:tcW w:type="dxa" w:w="2160"/>
          </w:tcPr>
          <w:p>
            <w:r>
              <w:t>**Supervisory ρ (BA-CVA)**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  <w:tc>
          <w:tcPr>
            <w:tcW w:type="dxa" w:w="2160"/>
          </w:tcPr>
          <w:p>
            <w:r>
              <w:t>MAR50.29</w:t>
            </w:r>
          </w:p>
        </w:tc>
        <w:tc>
          <w:tcPr>
            <w:tcW w:type="dxa" w:w="2160"/>
          </w:tcPr>
          <w:p>
            <w:r>
              <w:t>Static</w:t>
            </w:r>
          </w:p>
        </w:tc>
      </w:tr>
      <w:tr>
        <w:tc>
          <w:tcPr>
            <w:tcW w:type="dxa" w:w="2160"/>
          </w:tcPr>
          <w:p>
            <w:r>
              <w:t>**Stress Scenarios**</w:t>
            </w:r>
          </w:p>
        </w:tc>
        <w:tc>
          <w:tcPr>
            <w:tcW w:type="dxa" w:w="2160"/>
          </w:tcPr>
          <w:p>
            <w:r>
              <w:t>6 defined (BASE + STRESS_1–5)</w:t>
            </w:r>
          </w:p>
        </w:tc>
        <w:tc>
          <w:tcPr>
            <w:tcW w:type="dxa" w:w="2160"/>
          </w:tcPr>
          <w:p>
            <w:r>
              <w:t>BCBS framework</w:t>
            </w:r>
          </w:p>
        </w:tc>
        <w:tc>
          <w:tcPr>
            <w:tcW w:type="dxa" w:w="2160"/>
          </w:tcPr>
          <w:p>
            <w:r>
              <w:t>Quarterly review</w:t>
            </w:r>
          </w:p>
        </w:tc>
      </w:tr>
    </w:tbl>
    <w:p>
      <w:pPr>
        <w:pStyle w:val="Heading2"/>
        <w:jc w:val="left"/>
      </w:pPr>
      <w:r>
        <w:t>2. Data Quality Standards (FR-016)</w:t>
      </w:r>
    </w:p>
    <w:p>
      <w:pPr>
        <w:pStyle w:val="Heading3"/>
        <w:jc w:val="left"/>
      </w:pPr>
      <w:r>
        <w:t>2.1 Four Dimensions Framework</w:t>
      </w:r>
    </w:p>
    <w:p>
      <w:pPr>
        <w:pStyle w:val="Heading3"/>
        <w:jc w:val="left"/>
      </w:pPr>
      <w:r>
        <w:t>Dimension 1: Completeness (25% weight)</w:t>
      </w:r>
    </w:p>
    <w:p>
      <w:r>
        <w:rPr>
          <w:b/>
        </w:rPr>
        <w:t>Definition:</w:t>
      </w:r>
      <w:r>
        <w:t xml:space="preserve"> % of required data fields populated (not NULL/missing)</w:t>
      </w:r>
    </w:p>
    <w:p>
      <w:r>
        <w:rPr>
          <w:b/>
        </w:rPr>
        <w:t>Calculation: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Completeness = 1.0 - (Total Missing / (Total Records × Required Fields))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Target: &gt;99%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Yellow Alert: &lt;95%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Red Alert: &lt;90%</w:t>
      </w:r>
    </w:p>
    <w:p>
      <w:r>
        <w:rPr>
          <w:b/>
        </w:rPr>
        <w:t>Root Cause Analysis for Missing Data:</w:t>
      </w:r>
    </w:p>
    <w:p>
      <w:pPr>
        <w:pStyle w:val="ListBullet"/>
      </w:pPr>
      <w:r>
        <w:t>Late source system delivery → escalate to ops</w:t>
      </w:r>
    </w:p>
    <w:p>
      <w:pPr>
        <w:pStyle w:val="ListBullet"/>
      </w:pPr>
      <w:r>
        <w:t>Network failure → retry with exponential backoff</w:t>
      </w:r>
    </w:p>
    <w:p>
      <w:pPr>
        <w:pStyle w:val="ListBullet"/>
      </w:pPr>
      <w:r>
        <w:t>Data format error → data engineering review</w:t>
      </w:r>
    </w:p>
    <w:p>
      <w:pPr>
        <w:pStyle w:val="ListBullet"/>
      </w:pPr>
      <w:r>
        <w:t>Calculation failure → technical investigation</w:t>
      </w:r>
    </w:p>
    <w:p>
      <w:pPr>
        <w:pStyle w:val="Heading3"/>
        <w:jc w:val="left"/>
      </w:pPr>
      <w:r>
        <w:t>Dimension 2: Accuracy (25% weight)</w:t>
      </w:r>
    </w:p>
    <w:p>
      <w:r>
        <w:rPr>
          <w:b/>
        </w:rPr>
        <w:t>Definition:</w:t>
      </w:r>
      <w:r>
        <w:t xml:space="preserve"> % of data passing business validation rules</w:t>
      </w:r>
    </w:p>
    <w:p>
      <w:r>
        <w:rPr>
          <w:b/>
        </w:rPr>
        <w:t>Validation Rules (&gt;150 total):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Range validations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if pd &lt; 0.03% or pd &gt; 100%: flag as inaccurate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if lgd &lt; 0% or lgd &gt; 100%: flag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if ead &lt; 0: flag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if maturity &lt; 1 or maturity &gt; 5: flag  # CRE31.7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Cross-field validations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if asset_class == 'RETAIL_MORT' and maturity &gt; 1: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# Retail maturity floored at 1 year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flag as inaccurate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if collateral_value &gt; 0 and collateral_type is NULL: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flag: missing collateral type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if cds_hedge_id is not NULL and cds_notional &lt;= 0: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flag: invalid hedge notional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Reconciliation validations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obligor_id must exist in master obligor database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counterparty_id must exist in CDS/CVA pricing database</w:t>
      </w:r>
    </w:p>
    <w:p>
      <w:r>
        <w:rPr>
          <w:b/>
        </w:rPr>
        <w:t>Calculation: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Accuracy = Validation Passes / Total Validation Checks × 100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Target: &gt;98%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Yellow Alert: &lt;90%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Red Alert: &lt;80%</w:t>
      </w:r>
    </w:p>
    <w:p>
      <w:pPr>
        <w:pStyle w:val="Heading3"/>
        <w:jc w:val="left"/>
      </w:pPr>
      <w:r>
        <w:t>Dimension 3: Timeliness (25% weight)</w:t>
      </w:r>
    </w:p>
    <w:p>
      <w:r>
        <w:rPr>
          <w:b/>
        </w:rPr>
        <w:t>Definition:</w:t>
      </w:r>
      <w:r>
        <w:t xml:space="preserve"> % of data received/processed within SLA window</w:t>
      </w:r>
    </w:p>
    <w:p>
      <w:r>
        <w:rPr>
          <w:b/>
        </w:rPr>
        <w:t>SLA by Data Source: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SLA Target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Latency Alert</w:t>
            </w:r>
          </w:p>
        </w:tc>
      </w:tr>
      <w:tr>
        <w:tc>
          <w:tcPr>
            <w:tcW w:type="dxa" w:w="2880"/>
          </w:tcPr>
          <w:p>
            <w:r>
              <w:t>Portfolio data</w:t>
            </w:r>
          </w:p>
        </w:tc>
        <w:tc>
          <w:tcPr>
            <w:tcW w:type="dxa" w:w="2880"/>
          </w:tcPr>
          <w:p>
            <w:r>
              <w:t>6:30 AM PT</w:t>
            </w:r>
          </w:p>
        </w:tc>
        <w:tc>
          <w:tcPr>
            <w:tcW w:type="dxa" w:w="2880"/>
          </w:tcPr>
          <w:p>
            <w:r>
              <w:t>+15 min = YELLOW, +30 min = RED</w:t>
            </w:r>
          </w:p>
        </w:tc>
      </w:tr>
      <w:tr>
        <w:tc>
          <w:tcPr>
            <w:tcW w:type="dxa" w:w="2880"/>
          </w:tcPr>
          <w:p>
            <w:r>
              <w:t>Market data</w:t>
            </w:r>
          </w:p>
        </w:tc>
        <w:tc>
          <w:tcPr>
            <w:tcW w:type="dxa" w:w="2880"/>
          </w:tcPr>
          <w:p>
            <w:r>
              <w:t>Hourly</w:t>
            </w:r>
          </w:p>
        </w:tc>
        <w:tc>
          <w:tcPr>
            <w:tcW w:type="dxa" w:w="2880"/>
          </w:tcPr>
          <w:p>
            <w:r>
              <w:t>+60 min = YELLOW, +90 min = RED</w:t>
            </w:r>
          </w:p>
        </w:tc>
      </w:tr>
      <w:tr>
        <w:tc>
          <w:tcPr>
            <w:tcW w:type="dxa" w:w="2880"/>
          </w:tcPr>
          <w:p>
            <w:r>
              <w:t>ESG data</w:t>
            </w:r>
          </w:p>
        </w:tc>
        <w:tc>
          <w:tcPr>
            <w:tcW w:type="dxa" w:w="2880"/>
          </w:tcPr>
          <w:p>
            <w:r>
              <w:t>Monthly (5th of month)</w:t>
            </w:r>
          </w:p>
        </w:tc>
        <w:tc>
          <w:tcPr>
            <w:tcW w:type="dxa" w:w="2880"/>
          </w:tcPr>
          <w:p>
            <w:r>
              <w:t>+7 days = YELLOW, +14 days = RED</w:t>
            </w:r>
          </w:p>
        </w:tc>
      </w:tr>
    </w:tbl>
    <w:p>
      <w:r>
        <w:rPr>
          <w:b/>
        </w:rPr>
        <w:t>Calculation: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Timeliness = On-Time Records / Total Records × 100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Target: 95%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Yellow Alert: Avg latency &gt;30 min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Red Alert: Avg latency &gt;60 min</w:t>
      </w:r>
    </w:p>
    <w:p>
      <w:pPr>
        <w:pStyle w:val="Heading3"/>
        <w:jc w:val="left"/>
      </w:pPr>
      <w:r>
        <w:t>Dimension 4: Consistency (25% weight)</w:t>
      </w:r>
    </w:p>
    <w:p>
      <w:r>
        <w:rPr>
          <w:b/>
        </w:rPr>
        <w:t>Definition:</w:t>
      </w:r>
      <w:r>
        <w:t xml:space="preserve"> % of successful cross-system reconciliations</w:t>
      </w:r>
    </w:p>
    <w:p>
      <w:r>
        <w:rPr>
          <w:b/>
        </w:rPr>
        <w:t>Key Reconciliations: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Core Banking System   ←→ CIB Risk System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Total EAD match: ±0.1%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Position count match: ±0.5%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Top 20 obligors: 100% match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Portfolio Data        ←→ Operations DB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PD distribution match: ±2%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LGD distribution match: ±1%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Market Data (Bloomberg) ←→ Market Data (FRED)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SOFR rate: exact match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Credit spreads: ±5 bps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Implied volatility: ±2%</w:t>
      </w:r>
    </w:p>
    <w:p>
      <w:r>
        <w:rPr>
          <w:b/>
        </w:rPr>
        <w:t>Calculation: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Consistency = Reconciled Records / Total Cross-System Records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Target: &gt;97%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Yellow Alert: &lt;90%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Red Alert: &lt;80%</w:t>
      </w:r>
    </w:p>
    <w:p>
      <w:pPr>
        <w:pStyle w:val="Heading3"/>
        <w:jc w:val="left"/>
      </w:pPr>
      <w:r>
        <w:t>2.2 DQ Scorecard (FR-016)</w:t>
      </w:r>
    </w:p>
    <w:p>
      <w:r>
        <w:rPr>
          <w:b/>
        </w:rPr>
        <w:t>Daily Execution:</w:t>
      </w:r>
      <w:r>
        <w:t xml:space="preserve"> 7:00 AM PT (post-calculation)</w:t>
      </w:r>
    </w:p>
    <w:p>
      <w:r>
        <w:rPr>
          <w:b/>
        </w:rPr>
        <w:t>Output: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{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"date": "2026-05-01",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"overall_score": 94.2,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"status": "GREEN",  // GREEN (≥90), YELLOW (75–89), RED (&lt;75)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"dimensions": {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"completeness": {"score": 96.5, "pct": 99.5},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"accuracy": {"score": 93.8, "pct": 98.2},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"timeliness": {"score": 95.0, "pct": 97.3},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"consistency": {"score": 91.2, "pct": 96.1}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},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"alerts": [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{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"dimension": "accuracy",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"severity": "MEDIUM",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"message": "Equity sector volatility outliers detected (10 exceptions)",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"action": "Data engineering review Friday EOD"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}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],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"trend": "IMPROVING",  // IMPROVING / STABLE / DETERIORATING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"year_to_date_avg": 92.1,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"previous_30_days_avg": 91.8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}</w:t>
      </w:r>
    </w:p>
    <w:p>
      <w:r>
        <w:rPr>
          <w:b/>
        </w:rPr>
        <w:t>Alert Escalation:</w:t>
      </w:r>
    </w:p>
    <w:p>
      <w:pPr>
        <w:pStyle w:val="ListBullet"/>
      </w:pPr>
      <w:r>
        <w:t>**GREEN Status:** Normal, no action required</w:t>
      </w:r>
    </w:p>
    <w:p>
      <w:pPr>
        <w:pStyle w:val="ListBullet"/>
      </w:pPr>
      <w:r>
        <w:t>**YELLOW Status:** Monitor closely; risk committee notified; root cause analysis by EOD</w:t>
      </w:r>
    </w:p>
    <w:p>
      <w:pPr>
        <w:pStyle w:val="ListBullet"/>
      </w:pPr>
      <w:r>
        <w:t>**RED Status:** Risk run BLOCKED; investigation immediate; governance exception required for override</w:t>
      </w:r>
    </w:p>
    <w:p>
      <w:pPr>
        <w:pStyle w:val="Heading2"/>
        <w:jc w:val="left"/>
      </w:pPr>
      <w:r>
        <w:t>3. Data Lineage &amp; Governance</w:t>
      </w:r>
    </w:p>
    <w:p>
      <w:pPr>
        <w:pStyle w:val="Heading3"/>
        <w:jc w:val="left"/>
      </w:pPr>
      <w:r>
        <w:t>3.1 Lineage Tracking (FR-014)</w:t>
      </w:r>
    </w:p>
    <w:p>
      <w:r>
        <w:rPr>
          <w:b/>
        </w:rPr>
        <w:t>Data Flow: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SOURCE → INGESTION → VALIDATION → TRANSFORMATION → CALCULATION → OUTPUT → REPORTING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E.g., Portfolio Position: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Core Banking System (source)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↓ CSV dump 6:00 AM PT (ingestion)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↓ Schema validation + range check (validation layer 1)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↓ Completeness check (validation layer 2 = FR-016 Dim 1)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↓ Normalization (PD scaling, FX conversion) (transformation)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↓ A-IRB capital calculation (calculation layer)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↓ Trace tree recording (trace engine = FR-014)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↓ Export to regulatory reports (output)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↓ Dashboard visualization (reporting)</w:t>
      </w:r>
    </w:p>
    <w:p>
      <w:r>
        <w:rPr>
          <w:b/>
        </w:rPr>
        <w:t>Trace Node Structure (FR-014 Integration):</w:t>
      </w:r>
    </w:p>
    <w:p>
      <w:pPr>
        <w:pStyle w:val="ListBullet"/>
      </w:pPr>
      <w:r>
        <w:t>**Input:** Portfolio position + market data</w:t>
      </w:r>
    </w:p>
    <w:p>
      <w:pPr>
        <w:pStyle w:val="ListBullet"/>
      </w:pPr>
      <w:r>
        <w:t>**Intermediate Steps:**</w:t>
      </w:r>
    </w:p>
    <w:p>
      <w:pPr>
        <w:pStyle w:val="ListBullet"/>
      </w:pPr>
      <w:r>
        <w:t>PD floor check</w:t>
      </w:r>
    </w:p>
    <w:p>
      <w:pPr>
        <w:pStyle w:val="ListBullet"/>
      </w:pPr>
      <w:r>
        <w:t>Maturity adjustment b(PD)</w:t>
      </w:r>
    </w:p>
    <w:p>
      <w:pPr>
        <w:pStyle w:val="ListBullet"/>
      </w:pPr>
      <w:r>
        <w:t>Asset correlation R calculation</w:t>
      </w:r>
    </w:p>
    <w:p>
      <w:pPr>
        <w:pStyle w:val="ListBullet"/>
      </w:pPr>
      <w:r>
        <w:t>Collateral LGD* calculation (if applicable)</w:t>
      </w:r>
    </w:p>
    <w:p>
      <w:pPr>
        <w:pStyle w:val="ListBullet"/>
      </w:pPr>
      <w:r>
        <w:t>K formula (capital per unit EAD)</w:t>
      </w:r>
    </w:p>
    <w:p>
      <w:pPr>
        <w:pStyle w:val="ListBullet"/>
      </w:pPr>
      <w:r>
        <w:t>RWA calculation</w:t>
      </w:r>
    </w:p>
    <w:p>
      <w:pPr>
        <w:pStyle w:val="ListBullet"/>
      </w:pPr>
      <w:r>
        <w:t>Dynamic floor check</w:t>
      </w:r>
    </w:p>
    <w:p>
      <w:pPr>
        <w:pStyle w:val="ListBullet"/>
      </w:pPr>
      <w:r>
        <w:t>ESG/Climate uplift</w:t>
      </w:r>
    </w:p>
    <w:p>
      <w:pPr>
        <w:pStyle w:val="ListBullet"/>
      </w:pPr>
      <w:r>
        <w:t>**Output:** Final RWA + trace tree</w:t>
      </w:r>
    </w:p>
    <w:p>
      <w:r>
        <w:rPr>
          <w:b/>
        </w:rPr>
        <w:t>Auditability:</w:t>
      </w:r>
    </w:p>
    <w:p>
      <w:pPr>
        <w:pStyle w:val="ListBullet"/>
      </w:pPr>
      <w:r>
        <w:t>✅ Every RWA number traceable to source position data</w:t>
      </w:r>
    </w:p>
    <w:p>
      <w:pPr>
        <w:pStyle w:val="ListBullet"/>
      </w:pPr>
      <w:r>
        <w:t>✅ Every formula step logged with intermediate values + timestamps</w:t>
      </w:r>
    </w:p>
    <w:p>
      <w:pPr>
        <w:pStyle w:val="ListBullet"/>
      </w:pPr>
      <w:r>
        <w:t>✅ Able to reproduce exact RWA calculation 7 years post-valuation (retention requirement)</w:t>
      </w:r>
    </w:p>
    <w:p>
      <w:pPr>
        <w:pStyle w:val="Heading3"/>
        <w:jc w:val="left"/>
      </w:pPr>
      <w:r>
        <w:t>3.2 Data Governance</w:t>
      </w:r>
    </w:p>
    <w:p>
      <w:r>
        <w:rPr>
          <w:b/>
        </w:rPr>
        <w:t>Data Ownership: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Data Category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SLA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Escalation</w:t>
            </w:r>
          </w:p>
        </w:tc>
      </w:tr>
      <w:tr>
        <w:tc>
          <w:tcPr>
            <w:tcW w:type="dxa" w:w="2160"/>
          </w:tcPr>
          <w:p>
            <w:r>
              <w:t>Portfolio data</w:t>
            </w:r>
          </w:p>
        </w:tc>
        <w:tc>
          <w:tcPr>
            <w:tcW w:type="dxa" w:w="2160"/>
          </w:tcPr>
          <w:p>
            <w:r>
              <w:t>Chief Risk Officer</w:t>
            </w:r>
          </w:p>
        </w:tc>
        <w:tc>
          <w:tcPr>
            <w:tcW w:type="dxa" w:w="2160"/>
          </w:tcPr>
          <w:p>
            <w:r>
              <w:t>T+0</w:t>
            </w:r>
          </w:p>
        </w:tc>
        <w:tc>
          <w:tcPr>
            <w:tcW w:type="dxa" w:w="2160"/>
          </w:tcPr>
          <w:p>
            <w:r>
              <w:t>COO</w:t>
            </w:r>
          </w:p>
        </w:tc>
      </w:tr>
      <w:tr>
        <w:tc>
          <w:tcPr>
            <w:tcW w:type="dxa" w:w="2160"/>
          </w:tcPr>
          <w:p>
            <w:r>
              <w:t>Market data</w:t>
            </w:r>
          </w:p>
        </w:tc>
        <w:tc>
          <w:tcPr>
            <w:tcW w:type="dxa" w:w="2160"/>
          </w:tcPr>
          <w:p>
            <w:r>
              <w:t>Treasury</w:t>
            </w:r>
          </w:p>
        </w:tc>
        <w:tc>
          <w:tcPr>
            <w:tcW w:type="dxa" w:w="2160"/>
          </w:tcPr>
          <w:p>
            <w:r>
              <w:t>Hourly</w:t>
            </w:r>
          </w:p>
        </w:tc>
        <w:tc>
          <w:tcPr>
            <w:tcW w:type="dxa" w:w="2160"/>
          </w:tcPr>
          <w:p>
            <w:r>
              <w:t>CFO</w:t>
            </w:r>
          </w:p>
        </w:tc>
      </w:tr>
      <w:tr>
        <w:tc>
          <w:tcPr>
            <w:tcW w:type="dxa" w:w="2160"/>
          </w:tcPr>
          <w:p>
            <w:r>
              <w:t>ESG/Climate</w:t>
            </w:r>
          </w:p>
        </w:tc>
        <w:tc>
          <w:tcPr>
            <w:tcW w:type="dxa" w:w="2160"/>
          </w:tcPr>
          <w:p>
            <w:r>
              <w:t>Sustainability Officer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CRO</w:t>
            </w:r>
          </w:p>
        </w:tc>
      </w:tr>
      <w:tr>
        <w:tc>
          <w:tcPr>
            <w:tcW w:type="dxa" w:w="2160"/>
          </w:tcPr>
          <w:p>
            <w:r>
              <w:t>Regulatory parameters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Regulatory update</w:t>
            </w:r>
          </w:p>
        </w:tc>
        <w:tc>
          <w:tcPr>
            <w:tcW w:type="dxa" w:w="2160"/>
          </w:tcPr>
          <w:p>
            <w:r>
              <w:t>CEO</w:t>
            </w:r>
          </w:p>
        </w:tc>
      </w:tr>
    </w:tbl>
    <w:p>
      <w:r>
        <w:rPr>
          <w:b/>
        </w:rPr>
        <w:t>Data Quality Review Process: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Daily (7:45 AM PT): Risk committee reviews DQ scorecard status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- GREEN: Approve risk run, lock capital numbers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- YELLOW: Review root cause, may approve with exception notation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- RED: Halt risk run, investigate before rerun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Weekly (Monday 10 AM): Data governance meeting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- Review previous week DQ trend (improving/stable/deteriorating)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- Discuss root causes of any YELLOW/RED events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- Plan remediation actions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Monthly (1st Friday): Data quality steering committee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- Review YTD trends across all 4 dimensions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- Adjust DQ targets/alerts if needed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- Validate data governance controls</w:t>
      </w:r>
    </w:p>
    <w:p>
      <w:pPr>
        <w:pStyle w:val="Heading2"/>
        <w:jc w:val="left"/>
      </w:pPr>
      <w:r>
        <w:t>4. Data Dictionary</w:t>
      </w:r>
    </w:p>
    <w:p>
      <w:pPr>
        <w:pStyle w:val="Heading3"/>
        <w:jc w:val="left"/>
      </w:pPr>
      <w:r>
        <w:t>4.1 Portfolio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Validation Rule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617"/>
          </w:tcPr>
          <w:p>
            <w:r>
              <w:t>position_id</w:t>
            </w:r>
          </w:p>
        </w:tc>
        <w:tc>
          <w:tcPr>
            <w:tcW w:type="dxa" w:w="617"/>
          </w:tcPr>
          <w:p>
            <w:r>
              <w:t>String</w:t>
            </w:r>
          </w:p>
        </w:tc>
        <w:tc>
          <w:tcPr>
            <w:tcW w:type="dxa" w:w="617"/>
          </w:tcPr>
          <w:p>
            <w:r>
              <w:t>UUID-v4</w:t>
            </w:r>
          </w:p>
        </w:tc>
        <w:tc>
          <w:tcPr>
            <w:tcW w:type="dxa" w:w="617"/>
          </w:tcPr>
          <w:p>
            <w:r>
              <w:t>NOT NULL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obligor_id</w:t>
            </w:r>
          </w:p>
        </w:tc>
        <w:tc>
          <w:tcPr>
            <w:tcW w:type="dxa" w:w="617"/>
          </w:tcPr>
          <w:p>
            <w:r>
              <w:t>String</w:t>
            </w:r>
          </w:p>
        </w:tc>
        <w:tc>
          <w:tcPr>
            <w:tcW w:type="dxa" w:w="617"/>
          </w:tcPr>
          <w:p>
            <w:r>
              <w:t>MAX-50</w:t>
            </w:r>
          </w:p>
        </w:tc>
        <w:tc>
          <w:tcPr>
            <w:tcW w:type="dxa" w:w="617"/>
          </w:tcPr>
          <w:p>
            <w:r>
              <w:t>NOT NULL, foreign key to obligor_master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counterparty_id</w:t>
            </w:r>
          </w:p>
        </w:tc>
        <w:tc>
          <w:tcPr>
            <w:tcW w:type="dxa" w:w="617"/>
          </w:tcPr>
          <w:p>
            <w:r>
              <w:t>String</w:t>
            </w:r>
          </w:p>
        </w:tc>
        <w:tc>
          <w:tcPr>
            <w:tcW w:type="dxa" w:w="617"/>
          </w:tcPr>
          <w:p>
            <w:r>
              <w:t>MAX-50</w:t>
            </w:r>
          </w:p>
        </w:tc>
        <w:tc>
          <w:tcPr>
            <w:tcW w:type="dxa" w:w="617"/>
          </w:tcPr>
          <w:p>
            <w:r>
              <w:t>Foreign key if OTC derivative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asset_class</w:t>
            </w:r>
          </w:p>
        </w:tc>
        <w:tc>
          <w:tcPr>
            <w:tcW w:type="dxa" w:w="617"/>
          </w:tcPr>
          <w:p>
            <w:r>
              <w:t>String</w:t>
            </w:r>
          </w:p>
        </w:tc>
        <w:tc>
          <w:tcPr>
            <w:tcW w:type="dxa" w:w="617"/>
          </w:tcPr>
          <w:p>
            <w:r>
              <w:t>Enum</w:t>
            </w:r>
          </w:p>
        </w:tc>
        <w:tc>
          <w:tcPr>
            <w:tcW w:type="dxa" w:w="617"/>
          </w:tcPr>
          <w:p>
            <w:r>
              <w:t>CORP \</w:t>
            </w:r>
          </w:p>
        </w:tc>
        <w:tc>
          <w:tcPr>
            <w:tcW w:type="dxa" w:w="617"/>
          </w:tcPr>
          <w:p>
            <w:r>
              <w:t>RETAIL_MORT \</w:t>
            </w:r>
          </w:p>
        </w:tc>
        <w:tc>
          <w:tcPr>
            <w:tcW w:type="dxa" w:w="617"/>
          </w:tcPr>
          <w:p>
            <w:r>
              <w:t>BANK \</w:t>
            </w:r>
          </w:p>
        </w:tc>
        <w:tc>
          <w:tcPr>
            <w:tcW w:type="dxa" w:w="617"/>
          </w:tcPr>
          <w:p>
            <w:r>
              <w:t>SOVEREIGN \</w:t>
            </w:r>
          </w:p>
        </w:tc>
        <w:tc>
          <w:tcPr>
            <w:tcW w:type="dxa" w:w="617"/>
          </w:tcPr>
          <w:p>
            <w:r>
              <w:t>HVCRE \</w:t>
            </w:r>
          </w:p>
        </w:tc>
        <w:tc>
          <w:tcPr>
            <w:tcW w:type="dxa" w:w="617"/>
          </w:tcPr>
          <w:p>
            <w:r>
              <w:t>RETAIL_REV \</w:t>
            </w:r>
          </w:p>
        </w:tc>
        <w:tc>
          <w:tcPr>
            <w:tcW w:type="dxa" w:w="617"/>
          </w:tcPr>
          <w:p>
            <w:r>
              <w:t>CCP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sector</w:t>
            </w:r>
          </w:p>
        </w:tc>
        <w:tc>
          <w:tcPr>
            <w:tcW w:type="dxa" w:w="617"/>
          </w:tcPr>
          <w:p>
            <w:r>
              <w:t>String</w:t>
            </w:r>
          </w:p>
        </w:tc>
        <w:tc>
          <w:tcPr>
            <w:tcW w:type="dxa" w:w="617"/>
          </w:tcPr>
          <w:p>
            <w:r>
              <w:t>MAX-50</w:t>
            </w:r>
          </w:p>
        </w:tc>
        <w:tc>
          <w:tcPr>
            <w:tcW w:type="dxa" w:w="617"/>
          </w:tcPr>
          <w:p>
            <w:r>
              <w:t>Industrials \</w:t>
            </w:r>
          </w:p>
        </w:tc>
        <w:tc>
          <w:tcPr>
            <w:tcW w:type="dxa" w:w="617"/>
          </w:tcPr>
          <w:p>
            <w:r>
              <w:t>Financials \</w:t>
            </w:r>
          </w:p>
        </w:tc>
        <w:tc>
          <w:tcPr>
            <w:tcW w:type="dxa" w:w="617"/>
          </w:tcPr>
          <w:p>
            <w:r>
              <w:t>Energy \</w:t>
            </w:r>
          </w:p>
        </w:tc>
        <w:tc>
          <w:tcPr>
            <w:tcW w:type="dxa" w:w="617"/>
          </w:tcPr>
          <w:p>
            <w:r>
              <w:t>Healthcare \</w:t>
            </w:r>
          </w:p>
        </w:tc>
        <w:tc>
          <w:tcPr>
            <w:tcW w:type="dxa" w:w="617"/>
          </w:tcPr>
          <w:p>
            <w:r>
              <w:t>Utilities \</w:t>
            </w:r>
          </w:p>
        </w:tc>
        <w:tc>
          <w:tcPr>
            <w:tcW w:type="dxa" w:w="617"/>
          </w:tcPr>
          <w:p>
            <w:r>
              <w:t>Technology \</w:t>
            </w:r>
          </w:p>
        </w:tc>
        <w:tc>
          <w:tcPr>
            <w:tcW w:type="dxa" w:w="617"/>
          </w:tcPr>
          <w:p>
            <w:r>
              <w:t>Telecom \</w:t>
            </w:r>
          </w:p>
        </w:tc>
        <w:tc>
          <w:tcPr>
            <w:tcW w:type="dxa" w:w="617"/>
          </w:tcPr>
          <w:p>
            <w:r>
              <w:t>Consumer \</w:t>
            </w:r>
          </w:p>
        </w:tc>
        <w:tc>
          <w:tcPr>
            <w:tcW w:type="dxa" w:w="617"/>
          </w:tcPr>
          <w:p>
            <w:r>
              <w:t>Comm_RE \</w:t>
            </w:r>
          </w:p>
        </w:tc>
        <w:tc>
          <w:tcPr>
            <w:tcW w:type="dxa" w:w="617"/>
          </w:tcPr>
          <w:p>
            <w:r>
              <w:t>Res_RE \</w:t>
            </w:r>
          </w:p>
        </w:tc>
        <w:tc>
          <w:tcPr>
            <w:tcW w:type="dxa" w:w="617"/>
          </w:tcPr>
          <w:p>
            <w:r>
              <w:t>Other</w:t>
            </w:r>
          </w:p>
        </w:tc>
      </w:tr>
      <w:tr>
        <w:tc>
          <w:tcPr>
            <w:tcW w:type="dxa" w:w="617"/>
          </w:tcPr>
          <w:p>
            <w:r>
              <w:t>ead</w:t>
            </w:r>
          </w:p>
        </w:tc>
        <w:tc>
          <w:tcPr>
            <w:tcW w:type="dxa" w:w="617"/>
          </w:tcPr>
          <w:p>
            <w:r>
              <w:t>Float</w:t>
            </w:r>
          </w:p>
        </w:tc>
        <w:tc>
          <w:tcPr>
            <w:tcW w:type="dxa" w:w="617"/>
          </w:tcPr>
          <w:p>
            <w:r>
              <w:t>USD</w:t>
            </w:r>
          </w:p>
        </w:tc>
        <w:tc>
          <w:tcPr>
            <w:tcW w:type="dxa" w:w="617"/>
          </w:tcPr>
          <w:p>
            <w:r>
              <w:t>0 to 999,999,999,999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pd</w:t>
            </w:r>
          </w:p>
        </w:tc>
        <w:tc>
          <w:tcPr>
            <w:tcW w:type="dxa" w:w="617"/>
          </w:tcPr>
          <w:p>
            <w:r>
              <w:t>Float</w:t>
            </w:r>
          </w:p>
        </w:tc>
        <w:tc>
          <w:tcPr>
            <w:tcW w:type="dxa" w:w="617"/>
          </w:tcPr>
          <w:p>
            <w:r>
              <w:t>Decimal</w:t>
            </w:r>
          </w:p>
        </w:tc>
        <w:tc>
          <w:tcPr>
            <w:tcW w:type="dxa" w:w="617"/>
          </w:tcPr>
          <w:p>
            <w:r>
              <w:t>0.0003 to 1.0 (0.03% to 100%)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lgd</w:t>
            </w:r>
          </w:p>
        </w:tc>
        <w:tc>
          <w:tcPr>
            <w:tcW w:type="dxa" w:w="617"/>
          </w:tcPr>
          <w:p>
            <w:r>
              <w:t>Float</w:t>
            </w:r>
          </w:p>
        </w:tc>
        <w:tc>
          <w:tcPr>
            <w:tcW w:type="dxa" w:w="617"/>
          </w:tcPr>
          <w:p>
            <w:r>
              <w:t>Decimal</w:t>
            </w:r>
          </w:p>
        </w:tc>
        <w:tc>
          <w:tcPr>
            <w:tcW w:type="dxa" w:w="617"/>
          </w:tcPr>
          <w:p>
            <w:r>
              <w:t>0.0 to 1.0 (0% to 100%)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maturity_years</w:t>
            </w:r>
          </w:p>
        </w:tc>
        <w:tc>
          <w:tcPr>
            <w:tcW w:type="dxa" w:w="617"/>
          </w:tcPr>
          <w:p>
            <w:r>
              <w:t>Float</w:t>
            </w:r>
          </w:p>
        </w:tc>
        <w:tc>
          <w:tcPr>
            <w:tcW w:type="dxa" w:w="617"/>
          </w:tcPr>
          <w:p>
            <w:r>
              <w:t>Decimal</w:t>
            </w:r>
          </w:p>
        </w:tc>
        <w:tc>
          <w:tcPr>
            <w:tcW w:type="dxa" w:w="617"/>
          </w:tcPr>
          <w:p>
            <w:r>
              <w:t>1.0 to 5.0 (enforce CRE31.7)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collateral_type</w:t>
            </w:r>
          </w:p>
        </w:tc>
        <w:tc>
          <w:tcPr>
            <w:tcW w:type="dxa" w:w="617"/>
          </w:tcPr>
          <w:p>
            <w:r>
              <w:t>String</w:t>
            </w:r>
          </w:p>
        </w:tc>
        <w:tc>
          <w:tcPr>
            <w:tcW w:type="dxa" w:w="617"/>
          </w:tcPr>
          <w:p>
            <w:r>
              <w:t>Enum (nullable)</w:t>
            </w:r>
          </w:p>
        </w:tc>
        <w:tc>
          <w:tcPr>
            <w:tcW w:type="dxa" w:w="617"/>
          </w:tcPr>
          <w:p>
            <w:r>
              <w:t>FINANCIAL \</w:t>
            </w:r>
          </w:p>
        </w:tc>
        <w:tc>
          <w:tcPr>
            <w:tcW w:type="dxa" w:w="617"/>
          </w:tcPr>
          <w:p>
            <w:r>
              <w:t>RECEIVABLES \</w:t>
            </w:r>
          </w:p>
        </w:tc>
        <w:tc>
          <w:tcPr>
            <w:tcW w:type="dxa" w:w="617"/>
          </w:tcPr>
          <w:p>
            <w:r>
              <w:t>RE_RESIDENTIAL \</w:t>
            </w:r>
          </w:p>
        </w:tc>
        <w:tc>
          <w:tcPr>
            <w:tcW w:type="dxa" w:w="617"/>
          </w:tcPr>
          <w:p>
            <w:r>
              <w:t>RE_COMMERCIAL \</w:t>
            </w:r>
          </w:p>
        </w:tc>
        <w:tc>
          <w:tcPr>
            <w:tcW w:type="dxa" w:w="617"/>
          </w:tcPr>
          <w:p>
            <w:r>
              <w:t>OTHER_PHYSICAL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collateral_value</w:t>
            </w:r>
          </w:p>
        </w:tc>
        <w:tc>
          <w:tcPr>
            <w:tcW w:type="dxa" w:w="617"/>
          </w:tcPr>
          <w:p>
            <w:r>
              <w:t>Float</w:t>
            </w:r>
          </w:p>
        </w:tc>
        <w:tc>
          <w:tcPr>
            <w:tcW w:type="dxa" w:w="617"/>
          </w:tcPr>
          <w:p>
            <w:r>
              <w:t>USD</w:t>
            </w:r>
          </w:p>
        </w:tc>
        <w:tc>
          <w:tcPr>
            <w:tcW w:type="dxa" w:w="617"/>
          </w:tcPr>
          <w:p>
            <w:r>
              <w:t>0 to 999,999,999,999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esg_score</w:t>
            </w:r>
          </w:p>
        </w:tc>
        <w:tc>
          <w:tcPr>
            <w:tcW w:type="dxa" w:w="617"/>
          </w:tcPr>
          <w:p>
            <w:r>
              <w:t>Float</w:t>
            </w:r>
          </w:p>
        </w:tc>
        <w:tc>
          <w:tcPr>
            <w:tcW w:type="dxa" w:w="617"/>
          </w:tcPr>
          <w:p>
            <w:r>
              <w:t>0–100</w:t>
            </w:r>
          </w:p>
        </w:tc>
        <w:tc>
          <w:tcPr>
            <w:tcW w:type="dxa" w:w="617"/>
          </w:tcPr>
          <w:p>
            <w:r>
              <w:t>0 to 100 (Month-end; nullable until Phase 2A)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climate_brown_factor</w:t>
            </w:r>
          </w:p>
        </w:tc>
        <w:tc>
          <w:tcPr>
            <w:tcW w:type="dxa" w:w="617"/>
          </w:tcPr>
          <w:p>
            <w:r>
              <w:t>Float</w:t>
            </w:r>
          </w:p>
        </w:tc>
        <w:tc>
          <w:tcPr>
            <w:tcW w:type="dxa" w:w="617"/>
          </w:tcPr>
          <w:p>
            <w:r>
              <w:t>0–1</w:t>
            </w:r>
          </w:p>
        </w:tc>
        <w:tc>
          <w:tcPr>
            <w:tcW w:type="dxa" w:w="617"/>
          </w:tcPr>
          <w:p>
            <w:r>
              <w:t>0 to 1 (Month-end; nullable until Phase 2A)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valuation_date</w:t>
            </w:r>
          </w:p>
        </w:tc>
        <w:tc>
          <w:tcPr>
            <w:tcW w:type="dxa" w:w="617"/>
          </w:tcPr>
          <w:p>
            <w:r>
              <w:t>Date</w:t>
            </w:r>
          </w:p>
        </w:tc>
        <w:tc>
          <w:tcPr>
            <w:tcW w:type="dxa" w:w="617"/>
          </w:tcPr>
          <w:p>
            <w:r>
              <w:t>ISO 8601</w:t>
            </w:r>
          </w:p>
        </w:tc>
        <w:tc>
          <w:tcPr>
            <w:tcW w:type="dxa" w:w="617"/>
          </w:tcPr>
          <w:p>
            <w:r>
              <w:t>YYYY-MM-DD, must be most recent business day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</w:tbl>
    <w:p>
      <w:pPr>
        <w:pStyle w:val="Heading2"/>
        <w:jc w:val="left"/>
      </w:pPr>
      <w:r>
        <w:t>5. Data Architecture</w:t>
      </w:r>
    </w:p>
    <w:p>
      <w:pPr>
        <w:pStyle w:val="Heading3"/>
        <w:jc w:val="left"/>
      </w:pPr>
      <w:r>
        <w:t>5.1 Storage Tiers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HOT LAYER (0–90 days)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PostgreSQL (operational)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Redis (cache, 1-hour TTL)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└─ Refresh: Real-time (portfolio, market data)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WARM LAYER (91 days – 2 years)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DuckDB (analytical)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Delta Lake (time-series)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└─ Refresh: Daily snapshot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COLD LAYER (2+ years)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S3 (archive, compressed)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Glacier tier (long-term retention)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└─ Access: Quarterly audits, exam requests</w:t>
      </w:r>
    </w:p>
    <w:p>
      <w:pPr>
        <w:pStyle w:val="Heading3"/>
        <w:jc w:val="left"/>
      </w:pPr>
      <w:r>
        <w:t>5.2 Backup &amp; Recovery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t>RTO (Recovery Time Objective)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Automated failover to standby</w:t>
            </w:r>
          </w:p>
        </w:tc>
        <w:tc>
          <w:tcPr>
            <w:tcW w:type="dxa" w:w="2160"/>
          </w:tcPr>
          <w:p>
            <w:r>
              <w:t>N/A (automatic)</w:t>
            </w:r>
          </w:p>
        </w:tc>
      </w:tr>
      <w:tr>
        <w:tc>
          <w:tcPr>
            <w:tcW w:type="dxa" w:w="2160"/>
          </w:tcPr>
          <w:p>
            <w:r>
              <w:t>RPO (Recovery Point Objective)</w:t>
            </w:r>
          </w:p>
        </w:tc>
        <w:tc>
          <w:tcPr>
            <w:tcW w:type="dxa" w:w="2160"/>
          </w:tcPr>
          <w:p>
            <w:r>
              <w:t>&lt;1 hour</w:t>
            </w:r>
          </w:p>
        </w:tc>
        <w:tc>
          <w:tcPr>
            <w:tcW w:type="dxa" w:w="2160"/>
          </w:tcPr>
          <w:p>
            <w:r>
              <w:t>Transaction log replication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>
              <w:t>Backup Retention</w:t>
            </w:r>
          </w:p>
        </w:tc>
        <w:tc>
          <w:tcPr>
            <w:tcW w:type="dxa" w:w="2160"/>
          </w:tcPr>
          <w:p>
            <w:r>
              <w:t>7 years</w:t>
            </w:r>
          </w:p>
        </w:tc>
        <w:tc>
          <w:tcPr>
            <w:tcW w:type="dxa" w:w="2160"/>
          </w:tcPr>
          <w:p>
            <w:r>
              <w:t>Immutable archive</w:t>
            </w:r>
          </w:p>
        </w:tc>
        <w:tc>
          <w:tcPr>
            <w:tcW w:type="dxa" w:w="2160"/>
          </w:tcPr>
          <w:p>
            <w:r>
              <w:t>Nightly after calculation</w:t>
            </w:r>
          </w:p>
        </w:tc>
      </w:tr>
      <w:tr>
        <w:tc>
          <w:tcPr>
            <w:tcW w:type="dxa" w:w="2160"/>
          </w:tcPr>
          <w:p>
            <w:r>
              <w:t>Disaster Recovery Test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Full recovery drill</w:t>
            </w:r>
          </w:p>
        </w:tc>
        <w:tc>
          <w:tcPr>
            <w:tcW w:type="dxa" w:w="2160"/>
          </w:tcPr>
          <w:p>
            <w:r>
              <w:t>Q1/Q2/Q3/Q4</w:t>
            </w:r>
          </w:p>
        </w:tc>
      </w:tr>
    </w:tbl>
    <w:p>
      <w:pPr>
        <w:pStyle w:val="Heading2"/>
        <w:jc w:val="left"/>
      </w:pPr>
      <w:r>
        <w:t>6. Metadata Management</w:t>
      </w:r>
    </w:p>
    <w:p>
      <w:pPr>
        <w:pStyle w:val="Heading3"/>
        <w:jc w:val="left"/>
      </w:pPr>
      <w:r>
        <w:t>6.1 Data Catalog</w:t>
      </w:r>
    </w:p>
    <w:p>
      <w:r>
        <w:rPr>
          <w:b/>
        </w:rPr>
        <w:t>Schema Documentation: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Table: portfolio_positions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Business Description: All banking book exposures valued daily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Owner: Chief Risk Officer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Update Frequency: Daily (T+0)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Columns: [position_id, obligor_id, asset_class, ..., esg_score, climate_brown_factor]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Quality Dimensions: Completeness, Accuracy, Timeliness, Consistency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Last Validated: 2026-05-01 07:35 AM PT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└─ SLA: ≥99% completeness, &gt;98% accuracy, 100% timeliness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Field: esg_score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Data Type: Float (0–100)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Updated: Monthly (5th of month)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Source: MSCI ESG Database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Calculation: 30% governance + 35% environmental + 20% social + 15% economic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├─ Phase 2A Addition: Yes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└─ Regulatory Link: CRR3 Art. 87a</w:t>
      </w:r>
    </w:p>
    <w:p>
      <w:pPr>
        <w:pStyle w:val="Heading2"/>
        <w:jc w:val="left"/>
      </w:pPr>
      <w:r>
        <w:t>7. Compliance &amp; Audit</w:t>
      </w:r>
    </w:p>
    <w:p>
      <w:pPr>
        <w:pStyle w:val="Heading3"/>
        <w:jc w:val="left"/>
      </w:pPr>
      <w:r>
        <w:t>7.1 Data Retention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Retention Period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t>Trace logs (FR-014)</w:t>
            </w:r>
          </w:p>
        </w:tc>
        <w:tc>
          <w:tcPr>
            <w:tcW w:type="dxa" w:w="2880"/>
          </w:tcPr>
          <w:p>
            <w:r>
              <w:t>7 years</w:t>
            </w:r>
          </w:p>
        </w:tc>
        <w:tc>
          <w:tcPr>
            <w:tcW w:type="dxa" w:w="2880"/>
          </w:tcPr>
          <w:p>
            <w:r>
              <w:t>Regulatory exam requirement</w:t>
            </w:r>
          </w:p>
        </w:tc>
      </w:tr>
      <w:tr>
        <w:tc>
          <w:tcPr>
            <w:tcW w:type="dxa" w:w="2880"/>
          </w:tcPr>
          <w:p>
            <w:r>
              <w:t>Calculation results</w:t>
            </w:r>
          </w:p>
        </w:tc>
        <w:tc>
          <w:tcPr>
            <w:tcW w:type="dxa" w:w="2880"/>
          </w:tcPr>
          <w:p>
            <w:r>
              <w:t>5 years</w:t>
            </w:r>
          </w:p>
        </w:tc>
        <w:tc>
          <w:tcPr>
            <w:tcW w:type="dxa" w:w="2880"/>
          </w:tcPr>
          <w:p>
            <w:r>
              <w:t>SOX/audit trail requirement</w:t>
            </w:r>
          </w:p>
        </w:tc>
      </w:tr>
      <w:tr>
        <w:tc>
          <w:tcPr>
            <w:tcW w:type="dxa" w:w="2880"/>
          </w:tcPr>
          <w:p>
            <w:r>
              <w:t>Raw market data</w:t>
            </w:r>
          </w:p>
        </w:tc>
        <w:tc>
          <w:tcPr>
            <w:tcW w:type="dxa" w:w="2880"/>
          </w:tcPr>
          <w:p>
            <w:r>
              <w:t>2 years</w:t>
            </w:r>
          </w:p>
        </w:tc>
        <w:tc>
          <w:tcPr>
            <w:tcW w:type="dxa" w:w="2880"/>
          </w:tcPr>
          <w:p>
            <w:r>
              <w:t>Backup + compliance investigation</w:t>
            </w:r>
          </w:p>
        </w:tc>
      </w:tr>
      <w:tr>
        <w:tc>
          <w:tcPr>
            <w:tcW w:type="dxa" w:w="2880"/>
          </w:tcPr>
          <w:p>
            <w:r>
              <w:t>DQ scorecard archives</w:t>
            </w:r>
          </w:p>
        </w:tc>
        <w:tc>
          <w:tcPr>
            <w:tcW w:type="dxa" w:w="2880"/>
          </w:tcPr>
          <w:p>
            <w:r>
              <w:t>Permanent</w:t>
            </w:r>
          </w:p>
        </w:tc>
        <w:tc>
          <w:tcPr>
            <w:tcW w:type="dxa" w:w="2880"/>
          </w:tcPr>
          <w:p>
            <w:r>
              <w:t>Governance metric history</w:t>
            </w:r>
          </w:p>
        </w:tc>
      </w:tr>
    </w:tbl>
    <w:p>
      <w:pPr>
        <w:pStyle w:val="Heading3"/>
        <w:jc w:val="left"/>
      </w:pPr>
      <w:r>
        <w:t>7.2 GDPR/Privacy Compliance</w:t>
      </w:r>
    </w:p>
    <w:p>
      <w:pPr>
        <w:pStyle w:val="ListBullet"/>
      </w:pPr>
      <w:r>
        <w:t>**PII Masking:** Obligor names masked in all logs/queries except authorized roles</w:t>
      </w:r>
    </w:p>
    <w:p>
      <w:pPr>
        <w:pStyle w:val="ListBullet"/>
      </w:pPr>
      <w:r>
        <w:t>**Data Subject Rights:** Archive query protocol for data access requests</w:t>
      </w:r>
    </w:p>
    <w:p>
      <w:pPr>
        <w:pStyle w:val="ListBullet"/>
      </w:pPr>
      <w:r>
        <w:t>**Data Minimization:** Only fields needed for capital calculation retained</w:t>
      </w:r>
    </w:p>
    <w:p>
      <w:pPr>
        <w:pStyle w:val="ListBullet"/>
      </w:pPr>
      <w:r>
        <w:t>**Breach Protocol:** Notification within 72 hours to privacy officer</w:t>
      </w:r>
    </w:p>
    <w:p>
      <w:pPr>
        <w:pStyle w:val="Heading2"/>
        <w:jc w:val="left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**Classification**</w:t>
            </w:r>
          </w:p>
        </w:tc>
        <w:tc>
          <w:tcPr>
            <w:tcW w:type="dxa" w:w="4320"/>
          </w:tcPr>
          <w:p>
            <w:r>
              <w:t>Internal Use — Confidential</w:t>
            </w:r>
          </w:p>
        </w:tc>
      </w:tr>
      <w:tr>
        <w:tc>
          <w:tcPr>
            <w:tcW w:type="dxa" w:w="4320"/>
          </w:tcPr>
          <w:p>
            <w:r>
              <w:t>**Owner**</w:t>
            </w:r>
          </w:p>
        </w:tc>
        <w:tc>
          <w:tcPr>
            <w:tcW w:type="dxa" w:w="4320"/>
          </w:tcPr>
          <w:p>
            <w:r>
              <w:t>Chief Data Officer</w:t>
            </w:r>
          </w:p>
        </w:tc>
      </w:tr>
      <w:tr>
        <w:tc>
          <w:tcPr>
            <w:tcW w:type="dxa" w:w="4320"/>
          </w:tcPr>
          <w:p>
            <w:r>
              <w:t>**Reviewer**</w:t>
            </w:r>
          </w:p>
        </w:tc>
        <w:tc>
          <w:tcPr>
            <w:tcW w:type="dxa" w:w="4320"/>
          </w:tcPr>
          <w:p>
            <w:r>
              <w:t>Data Governance, Operations, Compliance</w:t>
            </w:r>
          </w:p>
        </w:tc>
      </w:tr>
      <w:tr>
        <w:tc>
          <w:tcPr>
            <w:tcW w:type="dxa" w:w="4320"/>
          </w:tcPr>
          <w:p>
            <w:r>
              <w:t>**Distribution**</w:t>
            </w:r>
          </w:p>
        </w:tc>
        <w:tc>
          <w:tcPr>
            <w:tcW w:type="dxa" w:w="4320"/>
          </w:tcPr>
          <w:p>
            <w:r>
              <w:t>Data Team, Risk Committee, Model Risk</w:t>
            </w:r>
          </w:p>
        </w:tc>
      </w:tr>
      <w:tr>
        <w:tc>
          <w:tcPr>
            <w:tcW w:type="dxa" w:w="4320"/>
          </w:tcPr>
          <w:p>
            <w:r>
              <w:t>**Review Cycle**</w:t>
            </w:r>
          </w:p>
        </w:tc>
        <w:tc>
          <w:tcPr>
            <w:tcW w:type="dxa" w:w="4320"/>
          </w:tcPr>
          <w:p>
            <w:r>
              <w:t>Quarterly</w:t>
            </w:r>
          </w:p>
        </w:tc>
      </w:tr>
    </w:tbl>
    <w:p>
      <w:r>
        <w:rPr>
          <w:b/>
        </w:rPr>
        <w:t>END OF DATA REQUIREMENTS DOCUMENT</w:t>
      </w:r>
    </w:p>
    <w:p>
      <w:r>
        <w:rPr>
          <w:b/>
        </w:rPr>
        <w:t>Prepared By:</w:t>
      </w:r>
      <w:r>
        <w:t xml:space="preserve"> Data Architecture &amp; Governance Teams</w:t>
      </w:r>
    </w:p>
    <w:p>
      <w:r>
        <w:rPr>
          <w:b/>
        </w:rPr>
        <w:t>Date:</w:t>
      </w:r>
      <w:r>
        <w:t xml:space="preserve"> May 1, 2026</w:t>
      </w:r>
    </w:p>
    <w:p>
      <w:r>
        <w:rPr>
          <w:b/>
        </w:rPr>
        <w:t>Status:</w:t>
      </w:r>
      <w:r>
        <w:t xml:space="preserve"> ✅ APPROVED FOR IMPLEMENTATION</w:t>
      </w:r>
    </w:p>
    <w:p/>
    <w:p>
      <w:pPr>
        <w:ind w:left="720"/>
      </w:pPr>
      <w:r>
        <w:rPr>
          <w:i/>
        </w:rPr>
        <w:t>Source: DATA_REQUIREMENTS.md</w:t>
        <w:br/>
      </w:r>
      <w:r>
        <w:rPr>
          <w:i/>
        </w:rPr>
        <w:t>Generated: 2026-05-03 18:06:21</w:t>
        <w:br/>
      </w:r>
      <w:r>
        <w:rPr>
          <w:i/>
        </w:rPr>
        <w:t>Prometheus Phase 2A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