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Prometheus Requirements Documentation</w:t>
      </w:r>
    </w:p>
    <w:p>
      <w:pPr>
        <w:pStyle w:val="Heading1"/>
        <w:jc w:val="left"/>
      </w:pPr>
      <w:r>
        <w:t>FRTB Technical Guide</w:t>
      </w:r>
    </w:p>
    <w:p>
      <w:pPr>
        <w:pStyle w:val="Heading2"/>
        <w:jc w:val="left"/>
      </w:pPr>
      <w:r>
        <w:t>Fundamental Review of the Trading Book (MAR10 / MAR21–23 / MAR31–33)</w:t>
      </w:r>
    </w:p>
    <w:p>
      <w:pPr>
        <w:pStyle w:val="Heading3"/>
        <w:jc w:val="left"/>
      </w:pPr>
      <w:r>
        <w:t>PROMETHEUS Risk Platform</w:t>
      </w:r>
    </w:p>
    <w:p>
      <w:r>
        <w:rPr>
          <w:b/>
        </w:rPr>
        <w:t>Last Updated:</w:t>
      </w:r>
      <w:r>
        <w:t xml:space="preserve"> Version 3.8 — Apr-27-2026</w:t>
      </w:r>
    </w:p>
    <w:p>
      <w:r>
        <w:rPr>
          <w:b/>
        </w:rPr>
        <w:t>Key Changes (v3.8):</w:t>
      </w:r>
      <w:r>
        <w:t xml:space="preserve"> Fix 5a — corrected liquidity horizon table (MAR33.12); Fix 5b — IMACapitalRegister 60-day rolling IMCC (MAR33.5)</w:t>
      </w:r>
    </w:p>
    <w:p>
      <w:pPr>
        <w:pStyle w:val="Heading2"/>
        <w:jc w:val="left"/>
      </w:pPr>
      <w:r>
        <w:t>Table of Contents</w:t>
      </w:r>
    </w:p>
    <w:p>
      <w:pPr>
        <w:pStyle w:val="ListNumber"/>
      </w:pPr>
      <w:r>
        <w:t>Overview &amp; Regulatory Basis</w:t>
      </w:r>
    </w:p>
    <w:p>
      <w:pPr>
        <w:pStyle w:val="ListNumber"/>
      </w:pPr>
      <w:r>
        <w:t>FRTB Architecture</w:t>
      </w:r>
    </w:p>
    <w:p>
      <w:pPr>
        <w:pStyle w:val="ListNumber"/>
      </w:pPr>
      <w:r>
        <w:t>Sensitivities-Based Method (SBM)</w:t>
      </w:r>
    </w:p>
    <w:p>
      <w:pPr>
        <w:pStyle w:val="ListNumber"/>
      </w:pPr>
      <w:r>
        <w:t>Internal Models Approach (IMA)</w:t>
      </w:r>
    </w:p>
    <w:p>
      <w:pPr>
        <w:pStyle w:val="ListNumber"/>
      </w:pPr>
      <w:r>
        <w:t>Market Risk Capital</w:t>
      </w:r>
    </w:p>
    <w:p>
      <w:pPr>
        <w:pStyle w:val="ListNumber"/>
      </w:pPr>
      <w:r>
        <w:t>Key Bug Fixes Applied</w:t>
      </w:r>
    </w:p>
    <w:p>
      <w:pPr>
        <w:pStyle w:val="ListNumber"/>
      </w:pPr>
      <w:r>
        <w:t>Glossary</w:t>
      </w:r>
    </w:p>
    <w:p>
      <w:r>
        <w:rPr>
          <w:b/>
        </w:rPr>
        <w:t>Appendix A</w:t>
      </w:r>
      <w:r>
        <w:t xml:space="preserve"> — Delta Charge: IR Bond Position (GIRR)</w:t>
      </w:r>
    </w:p>
    <w:p>
      <w:r>
        <w:rPr>
          <w:b/>
        </w:rPr>
        <w:t>Appendix B</w:t>
      </w:r>
      <w:r>
        <w:t xml:space="preserve"> — Equity Option: Delta + Vega + Curvature</w:t>
      </w:r>
    </w:p>
    <w:p>
      <w:r>
        <w:rPr>
          <w:b/>
        </w:rPr>
        <w:t>Appendix C</w:t>
      </w:r>
      <w:r>
        <w:t xml:space="preserve"> — IMA Expected Shortfall Numeric Example</w:t>
      </w:r>
    </w:p>
    <w:p>
      <w:r>
        <w:rPr>
          <w:b/>
        </w:rPr>
        <w:t>Appendix D</w:t>
      </w:r>
      <w:r>
        <w:t xml:space="preserve"> — NMRF Charge</w:t>
      </w:r>
    </w:p>
    <w:p>
      <w:r>
        <w:rPr>
          <w:b/>
        </w:rPr>
        <w:t>Appendix E</w:t>
      </w:r>
      <w:r>
        <w:t xml:space="preserve"> — Backtesting Traffic Light</w:t>
      </w:r>
    </w:p>
    <w:p>
      <w:pPr>
        <w:pStyle w:val="Heading2"/>
        <w:jc w:val="left"/>
      </w:pPr>
      <w:r>
        <w:t>1. Overview &amp; Regulatory Basis</w:t>
      </w:r>
    </w:p>
    <w:p>
      <w:r>
        <w:t>FRTB replaces the 1996 Basel II VaR approach for market risk. It establishes a clearer trading/banking book boundary, a more risk-sensitive standardised method (SBM), and a rigorous internal model framework (IMA).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Basel Section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Topic</w:t>
            </w:r>
          </w:p>
        </w:tc>
      </w:tr>
      <w:tr>
        <w:tc>
          <w:tcPr>
            <w:tcW w:type="dxa" w:w="4320"/>
          </w:tcPr>
          <w:p>
            <w:r>
              <w:t>MAR10</w:t>
            </w:r>
          </w:p>
        </w:tc>
        <w:tc>
          <w:tcPr>
            <w:tcW w:type="dxa" w:w="4320"/>
          </w:tcPr>
          <w:p>
            <w:r>
              <w:t>Scope: trading book boundary</w:t>
            </w:r>
          </w:p>
        </w:tc>
      </w:tr>
      <w:tr>
        <w:tc>
          <w:tcPr>
            <w:tcW w:type="dxa" w:w="4320"/>
          </w:tcPr>
          <w:p>
            <w:r>
              <w:t>MAR21</w:t>
            </w:r>
          </w:p>
        </w:tc>
        <w:tc>
          <w:tcPr>
            <w:tcW w:type="dxa" w:w="4320"/>
          </w:tcPr>
          <w:p>
            <w:r>
              <w:t>SBM — Delta charge</w:t>
            </w:r>
          </w:p>
        </w:tc>
      </w:tr>
      <w:tr>
        <w:tc>
          <w:tcPr>
            <w:tcW w:type="dxa" w:w="4320"/>
          </w:tcPr>
          <w:p>
            <w:r>
              <w:t>MAR22</w:t>
            </w:r>
          </w:p>
        </w:tc>
        <w:tc>
          <w:tcPr>
            <w:tcW w:type="dxa" w:w="4320"/>
          </w:tcPr>
          <w:p>
            <w:r>
              <w:t>SBM — Vega charge</w:t>
            </w:r>
          </w:p>
        </w:tc>
      </w:tr>
      <w:tr>
        <w:tc>
          <w:tcPr>
            <w:tcW w:type="dxa" w:w="4320"/>
          </w:tcPr>
          <w:p>
            <w:r>
              <w:t>MAR23</w:t>
            </w:r>
          </w:p>
        </w:tc>
        <w:tc>
          <w:tcPr>
            <w:tcW w:type="dxa" w:w="4320"/>
          </w:tcPr>
          <w:p>
            <w:r>
              <w:t>SBM — Curvature charge</w:t>
            </w:r>
          </w:p>
        </w:tc>
      </w:tr>
      <w:tr>
        <w:tc>
          <w:tcPr>
            <w:tcW w:type="dxa" w:w="4320"/>
          </w:tcPr>
          <w:p>
            <w:r>
              <w:t>MAR31</w:t>
            </w:r>
          </w:p>
        </w:tc>
        <w:tc>
          <w:tcPr>
            <w:tcW w:type="dxa" w:w="4320"/>
          </w:tcPr>
          <w:p>
            <w:r>
              <w:t>IMA — Expected Shortfall, NMRF</w:t>
            </w:r>
          </w:p>
        </w:tc>
      </w:tr>
      <w:tr>
        <w:tc>
          <w:tcPr>
            <w:tcW w:type="dxa" w:w="4320"/>
          </w:tcPr>
          <w:p>
            <w:r>
              <w:t>MAR32</w:t>
            </w:r>
          </w:p>
        </w:tc>
        <w:tc>
          <w:tcPr>
            <w:tcW w:type="dxa" w:w="4320"/>
          </w:tcPr>
          <w:p>
            <w:r>
              <w:t>IMA — Backtesting</w:t>
            </w:r>
          </w:p>
        </w:tc>
      </w:tr>
      <w:tr>
        <w:tc>
          <w:tcPr>
            <w:tcW w:type="dxa" w:w="4320"/>
          </w:tcPr>
          <w:p>
            <w:r>
              <w:t>MAR33</w:t>
            </w:r>
          </w:p>
        </w:tc>
        <w:tc>
          <w:tcPr>
            <w:tcW w:type="dxa" w:w="4320"/>
          </w:tcPr>
          <w:p>
            <w:r>
              <w:t>IMA — P&amp;L attribution, capital floor</w:t>
            </w:r>
          </w:p>
        </w:tc>
      </w:tr>
      <w:tr>
        <w:tc>
          <w:tcPr>
            <w:tcW w:type="dxa" w:w="4320"/>
          </w:tcPr>
          <w:p>
            <w:r>
              <w:t>MAR99</w:t>
            </w:r>
          </w:p>
        </w:tc>
        <w:tc>
          <w:tcPr>
            <w:tcW w:type="dxa" w:w="4320"/>
          </w:tcPr>
          <w:p>
            <w:r>
              <w:t>Backtesting traffic-light examples</w:t>
            </w:r>
          </w:p>
        </w:tc>
      </w:tr>
    </w:tbl>
    <w:p>
      <w:pPr>
        <w:pStyle w:val="Heading2"/>
        <w:jc w:val="left"/>
      </w:pPr>
      <w:r>
        <w:t>2. FRTB Architecture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Trading Book Positions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├── SBM (always computed)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    ├── Delta charge  (RW × WS → bucket → cross-bucket)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    ├── Vega charge   (same structure)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    └── Curvature charge (CVR± stress scenarios)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├── IMA (if approved)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    ├── Expected Shortfall (ES 97.5%, stressed period)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    ├── NMRF stress scenarios (SSRM per factor)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    └── Backtesting (250-day window)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└── Capital = max(SBM, IMA) × 12.5 → Market Risk RWA</w:t>
      </w:r>
    </w:p>
    <w:p>
      <w:pPr>
        <w:pStyle w:val="Heading2"/>
        <w:jc w:val="left"/>
      </w:pPr>
      <w:r>
        <w:t>3. Sensitivities-Based Method (SBM)</w:t>
      </w:r>
    </w:p>
    <w:p>
      <w:pPr>
        <w:pStyle w:val="Heading3"/>
        <w:jc w:val="left"/>
      </w:pPr>
      <w:r>
        <w:t>3.1 Delta Charge</w:t>
      </w:r>
    </w:p>
    <w:p>
      <w:r>
        <w:rPr>
          <w:b/>
        </w:rPr>
        <w:t>Weighted Sensitivity: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WS_ik = RW_k × s_ik</w:t>
      </w:r>
    </w:p>
    <w:p>
      <w:r>
        <w:rPr>
          <w:b/>
        </w:rPr>
        <w:t>Bucket aggregation (three-scenario framework, MAR21.6 — FIX-01):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K_b = sqrt(max(Σ WS_k² + Σ_{k≠l} ρ_kl × WS_k × WS_l, 0))</w:t>
      </w:r>
    </w:p>
    <w:p>
      <w:r>
        <w:t>Three correlation scenarios — highest K_b is used: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ρ_high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ρ_low</w:t>
            </w:r>
          </w:p>
        </w:tc>
      </w:tr>
      <w:tr>
        <w:tc>
          <w:tcPr>
            <w:tcW w:type="dxa" w:w="2880"/>
          </w:tcPr>
          <w:p>
            <w:r>
              <w:t>Base</w:t>
            </w:r>
          </w:p>
        </w:tc>
        <w:tc>
          <w:tcPr>
            <w:tcW w:type="dxa" w:w="2880"/>
          </w:tcPr>
          <w:p>
            <w:r>
              <w:t>ρ</w:t>
            </w:r>
          </w:p>
        </w:tc>
        <w:tc>
          <w:tcPr>
            <w:tcW w:type="dxa" w:w="2880"/>
          </w:tcPr>
          <w:p>
            <w:r>
              <w:t>ρ</w:t>
            </w:r>
          </w:p>
        </w:tc>
      </w:tr>
      <w:tr>
        <w:tc>
          <w:tcPr>
            <w:tcW w:type="dxa" w:w="2880"/>
          </w:tcPr>
          <w:p>
            <w:r>
              <w:t>High (stressed)</w:t>
            </w:r>
          </w:p>
        </w:tc>
        <w:tc>
          <w:tcPr>
            <w:tcW w:type="dxa" w:w="2880"/>
          </w:tcPr>
          <w:p>
            <w:r>
              <w:t>ρ + 0.25 × (1 − ρ)</w:t>
            </w:r>
          </w:p>
        </w:tc>
        <w:tc>
          <w:tcPr>
            <w:tcW w:type="dxa" w:w="2880"/>
          </w:tcPr>
          <w:p>
            <w:r>
              <w:t>max(2ρ − 1, 0)</w:t>
            </w:r>
          </w:p>
        </w:tc>
      </w:tr>
      <w:tr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ρ × 0.75</w:t>
            </w:r>
          </w:p>
        </w:tc>
        <w:tc>
          <w:tcPr>
            <w:tcW w:type="dxa" w:w="2880"/>
          </w:tcPr>
          <w:p>
            <w:r>
              <w:t>ρ × 0.75</w:t>
            </w:r>
          </w:p>
        </w:tc>
      </w:tr>
    </w:tbl>
    <w:p>
      <w:r>
        <w:rPr>
          <w:b/>
        </w:rPr>
        <w:t>FIX-01:</w:t>
      </w:r>
      <w:r>
        <w:t xml:space="preserve"> Original used `abs()` on ρ</w:t>
      </w:r>
      <w:r>
        <w:rPr>
          <w:i/>
        </w:rPr>
        <w:t>high and wrong ρ</w:t>
      </w:r>
      <w:r>
        <w:t>low formula (0.5625×ρ). Corrected to Basel MAR21.6 formulas.</w:t>
      </w:r>
    </w:p>
    <w:p>
      <w:r>
        <w:rPr>
          <w:b/>
        </w:rPr>
        <w:t>Cross-bucket: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Delta_charge = sqrt(Σ K_b² + Σ_{b≠c} γ_bc × K_b × K_c)</w:t>
      </w:r>
    </w:p>
    <w:p>
      <w:r>
        <w:rPr>
          <w:b/>
        </w:rPr>
        <w:t>GIRR Risk Weights (10 tenors, MAR21.44 — FIX-04):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Tenor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RW</w:t>
            </w:r>
          </w:p>
        </w:tc>
      </w:tr>
      <w:tr>
        <w:tc>
          <w:tcPr>
            <w:tcW w:type="dxa" w:w="4320"/>
          </w:tcPr>
          <w:p>
            <w:r>
              <w:t>3M</w:t>
            </w:r>
          </w:p>
        </w:tc>
        <w:tc>
          <w:tcPr>
            <w:tcW w:type="dxa" w:w="4320"/>
          </w:tcPr>
          <w:p>
            <w:r>
              <w:t>1.7%</w:t>
            </w:r>
          </w:p>
        </w:tc>
      </w:tr>
      <w:tr>
        <w:tc>
          <w:tcPr>
            <w:tcW w:type="dxa" w:w="4320"/>
          </w:tcPr>
          <w:p>
            <w:r>
              <w:t>6M</w:t>
            </w:r>
          </w:p>
        </w:tc>
        <w:tc>
          <w:tcPr>
            <w:tcW w:type="dxa" w:w="4320"/>
          </w:tcPr>
          <w:p>
            <w:r>
              <w:t>1.6%</w:t>
            </w:r>
          </w:p>
        </w:tc>
      </w:tr>
      <w:tr>
        <w:tc>
          <w:tcPr>
            <w:tcW w:type="dxa" w:w="4320"/>
          </w:tcPr>
          <w:p>
            <w:r>
              <w:t>1Y</w:t>
            </w:r>
          </w:p>
        </w:tc>
        <w:tc>
          <w:tcPr>
            <w:tcW w:type="dxa" w:w="4320"/>
          </w:tcPr>
          <w:p>
            <w:r>
              <w:t>1.6%</w:t>
            </w:r>
          </w:p>
        </w:tc>
      </w:tr>
      <w:tr>
        <w:tc>
          <w:tcPr>
            <w:tcW w:type="dxa" w:w="4320"/>
          </w:tcPr>
          <w:p>
            <w:r>
              <w:t>2Y</w:t>
            </w:r>
          </w:p>
        </w:tc>
        <w:tc>
          <w:tcPr>
            <w:tcW w:type="dxa" w:w="4320"/>
          </w:tcPr>
          <w:p>
            <w:r>
              <w:t>1.3%</w:t>
            </w:r>
          </w:p>
        </w:tc>
      </w:tr>
      <w:tr>
        <w:tc>
          <w:tcPr>
            <w:tcW w:type="dxa" w:w="4320"/>
          </w:tcPr>
          <w:p>
            <w:r>
              <w:t>3Y</w:t>
            </w:r>
          </w:p>
        </w:tc>
        <w:tc>
          <w:tcPr>
            <w:tcW w:type="dxa" w:w="4320"/>
          </w:tcPr>
          <w:p>
            <w:r>
              <w:t>1.2%</w:t>
            </w:r>
          </w:p>
        </w:tc>
      </w:tr>
      <w:tr>
        <w:tc>
          <w:tcPr>
            <w:tcW w:type="dxa" w:w="4320"/>
          </w:tcPr>
          <w:p>
            <w:r>
              <w:t>5Y</w:t>
            </w:r>
          </w:p>
        </w:tc>
        <w:tc>
          <w:tcPr>
            <w:tcW w:type="dxa" w:w="4320"/>
          </w:tcPr>
          <w:p>
            <w:r>
              <w:t>1.1%</w:t>
            </w:r>
          </w:p>
        </w:tc>
      </w:tr>
      <w:tr>
        <w:tc>
          <w:tcPr>
            <w:tcW w:type="dxa" w:w="4320"/>
          </w:tcPr>
          <w:p>
            <w:r>
              <w:t>10Y</w:t>
            </w:r>
          </w:p>
        </w:tc>
        <w:tc>
          <w:tcPr>
            <w:tcW w:type="dxa" w:w="4320"/>
          </w:tcPr>
          <w:p>
            <w:r>
              <w:t>1.1%</w:t>
            </w:r>
          </w:p>
        </w:tc>
      </w:tr>
      <w:tr>
        <w:tc>
          <w:tcPr>
            <w:tcW w:type="dxa" w:w="4320"/>
          </w:tcPr>
          <w:p>
            <w:r>
              <w:t>15Y</w:t>
            </w:r>
          </w:p>
        </w:tc>
        <w:tc>
          <w:tcPr>
            <w:tcW w:type="dxa" w:w="4320"/>
          </w:tcPr>
          <w:p>
            <w:r>
              <w:t>1.2%</w:t>
            </w:r>
          </w:p>
        </w:tc>
      </w:tr>
      <w:tr>
        <w:tc>
          <w:tcPr>
            <w:tcW w:type="dxa" w:w="4320"/>
          </w:tcPr>
          <w:p>
            <w:r>
              <w:t>20Y</w:t>
            </w:r>
          </w:p>
        </w:tc>
        <w:tc>
          <w:tcPr>
            <w:tcW w:type="dxa" w:w="4320"/>
          </w:tcPr>
          <w:p>
            <w:r>
              <w:t>1.3%</w:t>
            </w:r>
          </w:p>
        </w:tc>
      </w:tr>
      <w:tr>
        <w:tc>
          <w:tcPr>
            <w:tcW w:type="dxa" w:w="4320"/>
          </w:tcPr>
          <w:p>
            <w:r>
              <w:t>30Y</w:t>
            </w:r>
          </w:p>
        </w:tc>
        <w:tc>
          <w:tcPr>
            <w:tcW w:type="dxa" w:w="4320"/>
          </w:tcPr>
          <w:p>
            <w:r>
              <w:t>1.5%</w:t>
            </w:r>
          </w:p>
        </w:tc>
      </w:tr>
    </w:tbl>
    <w:p>
      <w:r>
        <w:t>FIX-04: Table trimmed from 13 to correct 10 entries.</w:t>
      </w:r>
    </w:p>
    <w:p>
      <w:pPr>
        <w:pStyle w:val="Heading3"/>
        <w:jc w:val="left"/>
      </w:pPr>
      <w:r>
        <w:t>3.2 Vega Charge</w:t>
      </w:r>
    </w:p>
    <w:p>
      <w:r>
        <w:t>Same structure as delta; sensitivities are option vega (∂V/∂σ) per vol tenor bucket.</w:t>
      </w:r>
    </w:p>
    <w:p>
      <w:pPr>
        <w:pStyle w:val="Heading3"/>
        <w:jc w:val="left"/>
      </w:pPr>
      <w:r>
        <w:t>3.3 Curvature Charge (FIX-02)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CVR⁺_k = −[V(x_k + RW_k × x_k) − V(x_k) − RW_k × x_k × delta_k]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CVR⁻_k = −[V(x_k − RW_k × x_k) − V(x_k) + RW_k × x_k × delta_k]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Ξ_b = max(Σ CVR_k² + Σ_{k≠l} ρ_kl² × CVR_k × CVR_l, 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K_curv_b = max(Ξ⁺_b, Ξ⁻_b)</w:t>
      </w:r>
    </w:p>
    <w:p>
      <w:r>
        <w:rPr>
          <w:b/>
        </w:rPr>
        <w:t>FIX-02:</w:t>
      </w:r>
      <w:r>
        <w:t xml:space="preserve"> Original applied `sqrt(Ξ</w:t>
      </w:r>
      <w:r>
        <w:rPr>
          <w:i/>
        </w:rPr>
        <w:t>b)`. Ξ</w:t>
      </w:r>
      <w:r>
        <w:t>b is already in capital dollar units — applying sqrt was dimensionally wrong and understated curvature capital.</w:t>
      </w:r>
    </w:p>
    <w:p>
      <w:r>
        <w:rPr>
          <w:b/>
        </w:rPr>
        <w:t>FIX-03:</w:t>
      </w:r>
      <w:r>
        <w:t xml:space="preserve"> Removed non-existent "MAR21.100 SBM floor." The three-scenario framework itself limits diversification; no additional floor exists in Basel.</w:t>
      </w:r>
    </w:p>
    <w:p>
      <w:pPr>
        <w:pStyle w:val="Heading2"/>
        <w:jc w:val="left"/>
      </w:pPr>
      <w:r>
        <w:t>4. Internal Models Approach (IMA)</w:t>
      </w:r>
    </w:p>
    <w:p>
      <w:pPr>
        <w:pStyle w:val="Heading3"/>
        <w:jc w:val="left"/>
      </w:pPr>
      <w:r>
        <w:t>4.1 Expected Shortfall (MAR33.8 — FIX-05)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ES(97.5%) = E[Loss | Loss &gt; VaR(97.5%)]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tail_count = math.ceil(0.025 × n_scenarios)   ← FIX-05 (was int(), now ceil())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ES = mean of the tail_count worst P&amp;L observations</w:t>
      </w:r>
    </w:p>
    <w:p>
      <w:r>
        <w:t>For 250 scenarios: `ceil(0.025 × 250) = ceil(6.25) = 7` worst days averaged.</w:t>
      </w:r>
    </w:p>
    <w:p>
      <w:r>
        <w:rPr>
          <w:b/>
        </w:rPr>
        <w:t>Liquidity Horizons (Fix 5a — MAR33.12 Table 1, Version 3.8):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Risk Class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LH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Bucket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Version 3.8 Change</w:t>
            </w:r>
          </w:p>
        </w:tc>
      </w:tr>
      <w:tr>
        <w:tc>
          <w:tcPr>
            <w:tcW w:type="dxa" w:w="1728"/>
          </w:tcPr>
          <w:p>
            <w:r>
              <w:t>GIRR, FX major, large-cap EQ</w:t>
            </w:r>
          </w:p>
        </w:tc>
        <w:tc>
          <w:tcPr>
            <w:tcW w:type="dxa" w:w="1728"/>
          </w:tcPr>
          <w:p>
            <w:r>
              <w:t>`GIRR`, `FX`, `EQ_LARGE_CAP`</w:t>
            </w:r>
          </w:p>
        </w:tc>
        <w:tc>
          <w:tcPr>
            <w:tcW w:type="dxa" w:w="1728"/>
          </w:tcPr>
          <w:p>
            <w:r>
              <w:t>10 days</w:t>
            </w:r>
          </w:p>
        </w:tc>
        <w:tc>
          <w:tcPr>
            <w:tcW w:type="dxa" w:w="1728"/>
          </w:tcPr>
          <w:p>
            <w:r>
              <w:t>j=1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  <w:tr>
        <w:tc>
          <w:tcPr>
            <w:tcW w:type="dxa" w:w="1728"/>
          </w:tcPr>
          <w:p>
            <w:r>
              <w:t>Large-cap EQ (non-specified), liquid commodities</w:t>
            </w:r>
          </w:p>
        </w:tc>
        <w:tc>
          <w:tcPr>
            <w:tcW w:type="dxa" w:w="1728"/>
          </w:tcPr>
          <w:p>
            <w:r>
              <w:t>`EQ_LARGE`, `CMDTY_ENERGY`</w:t>
            </w:r>
          </w:p>
        </w:tc>
        <w:tc>
          <w:tcPr>
            <w:tcW w:type="dxa" w:w="1728"/>
          </w:tcPr>
          <w:p>
            <w:r>
              <w:t>20 days</w:t>
            </w:r>
          </w:p>
        </w:tc>
        <w:tc>
          <w:tcPr>
            <w:tcW w:type="dxa" w:w="1728"/>
          </w:tcPr>
          <w:p>
            <w:r>
              <w:t>j=2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  <w:tr>
        <w:tc>
          <w:tcPr>
            <w:tcW w:type="dxa" w:w="1728"/>
          </w:tcPr>
          <w:p>
            <w:r>
              <w:t>Small-cap EQ, other FX, other commodities</w:t>
            </w:r>
          </w:p>
        </w:tc>
        <w:tc>
          <w:tcPr>
            <w:tcW w:type="dxa" w:w="1728"/>
          </w:tcPr>
          <w:p>
            <w:r>
              <w:t>`EQ`, `FX_OTHER`, `CMDTY`</w:t>
            </w:r>
          </w:p>
        </w:tc>
        <w:tc>
          <w:tcPr>
            <w:tcW w:type="dxa" w:w="1728"/>
          </w:tcPr>
          <w:p>
            <w:r>
              <w:t>40 days</w:t>
            </w:r>
          </w:p>
        </w:tc>
        <w:tc>
          <w:tcPr>
            <w:tcW w:type="dxa" w:w="1728"/>
          </w:tcPr>
          <w:p>
            <w:r>
              <w:t>j=3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  <w:tr>
        <w:tc>
          <w:tcPr>
            <w:tcW w:type="dxa" w:w="1728"/>
          </w:tcPr>
          <w:p>
            <w:r>
              <w:t>**IG credit spread (non-sec, CTP)**</w:t>
            </w:r>
          </w:p>
        </w:tc>
        <w:tc>
          <w:tcPr>
            <w:tcW w:type="dxa" w:w="1728"/>
          </w:tcPr>
          <w:p>
            <w:r>
              <w:t>**`CSR_NS_IG`, `CSR_CTP_IG`**</w:t>
            </w:r>
          </w:p>
        </w:tc>
        <w:tc>
          <w:tcPr>
            <w:tcW w:type="dxa" w:w="1728"/>
          </w:tcPr>
          <w:p>
            <w:r>
              <w:t>**60 days**</w:t>
            </w:r>
          </w:p>
        </w:tc>
        <w:tc>
          <w:tcPr>
            <w:tcW w:type="dxa" w:w="1728"/>
          </w:tcPr>
          <w:p>
            <w:r>
              <w:t>j=4</w:t>
            </w:r>
          </w:p>
        </w:tc>
        <w:tc>
          <w:tcPr>
            <w:tcW w:type="dxa" w:w="1728"/>
          </w:tcPr>
          <w:p>
            <w:r>
              <w:t>**New key added**</w:t>
            </w:r>
          </w:p>
        </w:tc>
      </w:tr>
      <w:tr>
        <w:tc>
          <w:tcPr>
            <w:tcW w:type="dxa" w:w="1728"/>
          </w:tcPr>
          <w:p>
            <w:r>
              <w:t>**Non-IG credit spread, all securitisation**</w:t>
            </w:r>
          </w:p>
        </w:tc>
        <w:tc>
          <w:tcPr>
            <w:tcW w:type="dxa" w:w="1728"/>
          </w:tcPr>
          <w:p>
            <w:r>
              <w:t>**`CSR_NS`, `CSR_SEC`**</w:t>
            </w:r>
          </w:p>
        </w:tc>
        <w:tc>
          <w:tcPr>
            <w:tcW w:type="dxa" w:w="1728"/>
          </w:tcPr>
          <w:p>
            <w:r>
              <w:t>**120 days**</w:t>
            </w:r>
          </w:p>
        </w:tc>
        <w:tc>
          <w:tcPr>
            <w:tcW w:type="dxa" w:w="1728"/>
          </w:tcPr>
          <w:p>
            <w:r>
              <w:t>j=5</w:t>
            </w:r>
          </w:p>
        </w:tc>
        <w:tc>
          <w:tcPr>
            <w:tcW w:type="dxa" w:w="1728"/>
          </w:tcPr>
          <w:p>
            <w:r>
              <w:t>**Was 40d / 60d — corrected**</w:t>
            </w:r>
          </w:p>
        </w:tc>
      </w:tr>
    </w:tbl>
    <w:p>
      <w:r>
        <w:t xml:space="preserve">`CSR_NS` corrected: </w:t>
      </w:r>
      <w:r>
        <w:rPr>
          <w:b/>
        </w:rPr>
        <w:t>40 → 120 days</w:t>
      </w:r>
      <w:r>
        <w:t xml:space="preserve"> (non-IG credit is the j=5 bucket per MAR33.12).</w:t>
      </w:r>
    </w:p>
    <w:p>
      <w:r>
        <w:t xml:space="preserve">`CSR_SEC` corrected: </w:t>
      </w:r>
      <w:r>
        <w:rPr>
          <w:b/>
        </w:rPr>
        <w:t>60 → 120 days</w:t>
      </w:r>
      <w:r>
        <w:t xml:space="preserve"> (non-IG securitisation is j=5, not j=4).</w:t>
      </w:r>
    </w:p>
    <w:p>
      <w:r>
        <w:t>`CSR_NS_IG` added at 60 days for investment-grade credit spread non-securitisation.</w:t>
      </w:r>
    </w:p>
    <w:p>
      <w:r>
        <w:t xml:space="preserve">Unknown risk classes default conservatively to </w:t>
      </w:r>
      <w:r>
        <w:rPr>
          <w:b/>
        </w:rPr>
        <w:t>120 days</w:t>
      </w:r>
      <w:r>
        <w:t>.</w:t>
      </w:r>
    </w:p>
    <w:p>
      <w:pPr>
        <w:pStyle w:val="Heading3"/>
        <w:jc w:val="left"/>
      </w:pPr>
      <w:r>
        <w:t>4.2 Non-Modellable Risk Factors (NMRF — MAR31.14, FIX-07)</w:t>
      </w:r>
    </w:p>
    <w:p>
      <w:r>
        <w:t>Risk factors with &lt; 24 price observations/year are NMRF. Capital = SSRM (Stressed Scenario Risk Measure) per factor, bank-estimated.</w:t>
      </w:r>
    </w:p>
    <w:p>
      <w:r>
        <w:rPr>
          <w:b/>
        </w:rPr>
        <w:t>FIX-07:</w:t>
      </w:r>
      <w:r>
        <w:t xml:space="preserve"> Default of 0.0015 (15bp flat proxy) removed. No MAR31 basis. Callers must supply `factor_ssrm` explicitly.</w:t>
      </w:r>
    </w:p>
    <w:p>
      <w:pPr>
        <w:pStyle w:val="Heading3"/>
        <w:jc w:val="left"/>
      </w:pPr>
      <w:r>
        <w:t>4.3 Backtesting Traffic Light (MAR32/MAR99)</w:t>
      </w:r>
    </w:p>
    <w:p>
      <w:r>
        <w:t>250-day window; compare actual P&amp;L to VaR(99%,1-day):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Exceptions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Capital Multiplier k</w:t>
            </w:r>
          </w:p>
        </w:tc>
      </w:tr>
      <w:tr>
        <w:tc>
          <w:tcPr>
            <w:tcW w:type="dxa" w:w="2880"/>
          </w:tcPr>
          <w:p>
            <w:r>
              <w:t>0–4</w:t>
            </w:r>
          </w:p>
        </w:tc>
        <w:tc>
          <w:tcPr>
            <w:tcW w:type="dxa" w:w="2880"/>
          </w:tcPr>
          <w:p>
            <w:r>
              <w:t>Green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Yellow</w:t>
            </w:r>
          </w:p>
        </w:tc>
        <w:tc>
          <w:tcPr>
            <w:tcW w:type="dxa" w:w="2880"/>
          </w:tcPr>
          <w:p>
            <w:r>
              <w:t>1.70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Yellow</w:t>
            </w:r>
          </w:p>
        </w:tc>
        <w:tc>
          <w:tcPr>
            <w:tcW w:type="dxa" w:w="2880"/>
          </w:tcPr>
          <w:p>
            <w:r>
              <w:t>1.76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Yellow</w:t>
            </w:r>
          </w:p>
        </w:tc>
        <w:tc>
          <w:tcPr>
            <w:tcW w:type="dxa" w:w="2880"/>
          </w:tcPr>
          <w:p>
            <w:r>
              <w:t>1.83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Yellow</w:t>
            </w:r>
          </w:p>
        </w:tc>
        <w:tc>
          <w:tcPr>
            <w:tcW w:type="dxa" w:w="2880"/>
          </w:tcPr>
          <w:p>
            <w:r>
              <w:t>1.88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Yellow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</w:tr>
      <w:tr>
        <w:tc>
          <w:tcPr>
            <w:tcW w:type="dxa" w:w="2880"/>
          </w:tcPr>
          <w:p>
            <w:r>
              <w:t>10+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2.00 (revert to SBM)</w:t>
            </w:r>
          </w:p>
        </w:tc>
      </w:tr>
    </w:tbl>
    <w:p>
      <w:pPr>
        <w:pStyle w:val="Heading2"/>
        <w:jc w:val="left"/>
      </w:pPr>
      <w:r>
        <w:t>5. Market Risk Capital</w:t>
      </w:r>
    </w:p>
    <w:p>
      <w:pPr>
        <w:pStyle w:val="Heading3"/>
        <w:jc w:val="left"/>
      </w:pPr>
      <w:r>
        <w:t>5.1 IMA Capital Formula — 60-Day Rolling IMCC (Fix 5b, Version 3.8 / MAR33.5)</w:t>
      </w:r>
    </w:p>
    <w:p>
      <w:r>
        <w:t xml:space="preserve">MAR33.5 requires IMA capital to be the </w:t>
      </w:r>
      <w:r>
        <w:rPr>
          <w:b/>
        </w:rPr>
      </w:r>
      <w:r>
        <w:t>maximum of today's ES and the 60-business-day average</w:t>
      </w:r>
    </w:p>
    <w:p>
      <w:r>
        <w:t>multiplied by the scaling factor mc</w:t>
      </w:r>
      <w:r>
        <w:rPr>
          <w:b/>
        </w:rPr>
      </w:r>
      <w:r>
        <w:t>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IMCC_t = max(ES_today, mc_t × ES_60d_avg)</w:t>
      </w:r>
    </w:p>
    <w:p>
      <w:r>
        <w:t>where `mc_t = 1.5 + backtesting_addon` (floor 1.5; amber-zone add-on per MAR32.9 table).</w:t>
      </w:r>
    </w:p>
    <w:p>
      <w:r>
        <w:rPr>
          <w:b/>
        </w:rPr>
        <w:t>`IMACapitalRegister`</w:t>
      </w:r>
      <w:r>
        <w:t xml:space="preserve"> (new class in `backend/engines/frtb.py`, Version 3.8):</w:t>
      </w:r>
    </w:p>
    <w:p>
      <w:pPr>
        <w:pStyle w:val="ListBullet"/>
      </w:pPr>
      <w:r>
        <w:t>Maintains a 60-business-day rolling deque of daily ES values</w:t>
      </w:r>
    </w:p>
    <w:p>
      <w:pPr>
        <w:pStyle w:val="ListBullet"/>
      </w:pPr>
      <w:r>
        <w:t>`regulatory_imcc(es_today)` returns `max(ES_today, mc × avg_60d)` and the binding reason</w:t>
      </w:r>
    </w:p>
    <w:p>
      <w:pPr>
        <w:pStyle w:val="ListBullet"/>
      </w:pPr>
      <w:r>
        <w:t>`to_dict()` / `from_dict()` for PostgreSQL persistence across daily runs</w:t>
      </w:r>
    </w:p>
    <w:p>
      <w:pPr>
        <w:pStyle w:val="ListBullet"/>
      </w:pPr>
      <w:r>
        <w:t>`set_exceptions(n)` wires the amber-zone add-on from the backtesting module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Backtesting exceptions (12m)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Zone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Add-on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mc</w:t>
            </w:r>
          </w:p>
        </w:tc>
      </w:tr>
      <w:tr>
        <w:tc>
          <w:tcPr>
            <w:tcW w:type="dxa" w:w="2160"/>
          </w:tcPr>
          <w:p>
            <w:r>
              <w:t>0–4</w:t>
            </w:r>
          </w:p>
        </w:tc>
        <w:tc>
          <w:tcPr>
            <w:tcW w:type="dxa" w:w="2160"/>
          </w:tcPr>
          <w:p>
            <w:r>
              <w:t>Green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**1.50**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Amber</w:t>
            </w:r>
          </w:p>
        </w:tc>
        <w:tc>
          <w:tcPr>
            <w:tcW w:type="dxa" w:w="2160"/>
          </w:tcPr>
          <w:p>
            <w:r>
              <w:t>0.40</w:t>
            </w:r>
          </w:p>
        </w:tc>
        <w:tc>
          <w:tcPr>
            <w:tcW w:type="dxa" w:w="2160"/>
          </w:tcPr>
          <w:p>
            <w:r>
              <w:t>1.90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Amber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2.00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2.15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Amber</w:t>
            </w:r>
          </w:p>
        </w:tc>
        <w:tc>
          <w:tcPr>
            <w:tcW w:type="dxa" w:w="2160"/>
          </w:tcPr>
          <w:p>
            <w:r>
              <w:t>0.75</w:t>
            </w:r>
          </w:p>
        </w:tc>
        <w:tc>
          <w:tcPr>
            <w:tcW w:type="dxa" w:w="2160"/>
          </w:tcPr>
          <w:p>
            <w:r>
              <w:t>2.25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Amber</w:t>
            </w:r>
          </w:p>
        </w:tc>
        <w:tc>
          <w:tcPr>
            <w:tcW w:type="dxa" w:w="2160"/>
          </w:tcPr>
          <w:p>
            <w:r>
              <w:t>0.85</w:t>
            </w:r>
          </w:p>
        </w:tc>
        <w:tc>
          <w:tcPr>
            <w:tcW w:type="dxa" w:w="2160"/>
          </w:tcPr>
          <w:p>
            <w:r>
              <w:t>2.35</w:t>
            </w:r>
          </w:p>
        </w:tc>
      </w:tr>
      <w:tr>
        <w:tc>
          <w:tcPr>
            <w:tcW w:type="dxa" w:w="2160"/>
          </w:tcPr>
          <w:p>
            <w:r>
              <w:t>10+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IMA disallowed</w:t>
            </w:r>
          </w:p>
        </w:tc>
      </w:tr>
    </w:tbl>
    <w:p>
      <w:r>
        <w:t>`FRTBEngine` now carries `self.ima_register = IMACapitalRegister()` initialised at startup.</w:t>
      </w:r>
    </w:p>
    <w:p>
      <w:pPr>
        <w:pStyle w:val="Heading3"/>
        <w:jc w:val="left"/>
      </w:pPr>
      <w:r>
        <w:t>5.2 Overall Market Risk Capital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IMA_capital = (IMCC + NMRF_charge) × 12.5        ← IMCC replaces k × ES (Fix 5b)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SBM_capital = SBM_total × 12.5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Market Risk RWA = max(IMA_capital, SBM_capital)</w:t>
      </w:r>
    </w:p>
    <w:p>
      <w:pPr>
        <w:pStyle w:val="Heading2"/>
        <w:jc w:val="left"/>
      </w:pPr>
      <w:r>
        <w:t>6. Key Bug Fixes Applied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Impact</w:t>
            </w:r>
          </w:p>
        </w:tc>
      </w:tr>
      <w:tr>
        <w:tc>
          <w:tcPr>
            <w:tcW w:type="dxa" w:w="2880"/>
          </w:tcPr>
          <w:p>
            <w:r>
              <w:t>FIX-01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Three-scenario ρ_high/ρ_low corrected (MAR21.6)</w:t>
            </w:r>
          </w:p>
        </w:tc>
      </w:tr>
      <w:tr>
        <w:tc>
          <w:tcPr>
            <w:tcW w:type="dxa" w:w="2880"/>
          </w:tcPr>
          <w:p>
            <w:r>
              <w:t>FIX-02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Curvature Ξ_b: removed erroneous sqrt() (MAR23.6)</w:t>
            </w:r>
          </w:p>
        </w:tc>
      </w:tr>
      <w:tr>
        <w:tc>
          <w:tcPr>
            <w:tcW w:type="dxa" w:w="2880"/>
          </w:tcPr>
          <w:p>
            <w:r>
              <w:t>FIX-03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Removed non-existent MAR21.100 SBM floor</w:t>
            </w:r>
          </w:p>
        </w:tc>
      </w:tr>
      <w:tr>
        <w:tc>
          <w:tcPr>
            <w:tcW w:type="dxa" w:w="2880"/>
          </w:tcPr>
          <w:p>
            <w:r>
              <w:t>FIX-04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GIRR RW table: 13 → 10 correct tenors (MAR21.44)</w:t>
            </w:r>
          </w:p>
        </w:tc>
      </w:tr>
      <w:tr>
        <w:tc>
          <w:tcPr>
            <w:tcW w:type="dxa" w:w="2880"/>
          </w:tcPr>
          <w:p>
            <w:r>
              <w:t>FIX-05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ES tail count: ceil() not int() (MAR33.8)</w:t>
            </w:r>
          </w:p>
        </w:tc>
      </w:tr>
      <w:tr>
        <w:tc>
          <w:tcPr>
            <w:tcW w:type="dxa" w:w="2880"/>
          </w:tcPr>
          <w:p>
            <w:r>
              <w:t>FIX-06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CSR_SEC and CSR_CTP risk weights added (MAR21.73)</w:t>
            </w:r>
          </w:p>
        </w:tc>
      </w:tr>
      <w:tr>
        <w:tc>
          <w:tcPr>
            <w:tcW w:type="dxa" w:w="2880"/>
          </w:tcPr>
          <w:p>
            <w:r>
              <w:t>FIX-07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NMRF default charge removed (MAR31.14)</w:t>
            </w:r>
          </w:p>
        </w:tc>
      </w:tr>
      <w:tr>
        <w:tc>
          <w:tcPr>
            <w:tcW w:type="dxa" w:w="2880"/>
          </w:tcPr>
          <w:p>
            <w:r>
              <w:t>FIX-08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Duplicate docstring in FRTBEngine.compute() merged</w:t>
            </w:r>
          </w:p>
        </w:tc>
      </w:tr>
      <w:tr>
        <w:tc>
          <w:tcPr>
            <w:tcW w:type="dxa" w:w="2880"/>
          </w:tcPr>
          <w:p>
            <w:r>
              <w:t>FIX-09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Shock application: additive not multiplicative</w:t>
            </w:r>
          </w:p>
        </w:tc>
      </w:tr>
      <w:tr>
        <w:tc>
          <w:tcPr>
            <w:tcW w:type="dxa" w:w="2880"/>
          </w:tcPr>
          <w:p>
            <w:r>
              <w:t>FIX-10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Correlation config in try/finally</w:t>
            </w:r>
          </w:p>
        </w:tc>
      </w:tr>
      <w:tr>
        <w:tc>
          <w:tcPr>
            <w:tcW w:type="dxa" w:w="2880"/>
          </w:tcPr>
          <w:p>
            <w:r>
              <w:t>FIX-11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GIRR inter-bucket scalar limitation documented</w:t>
            </w:r>
          </w:p>
        </w:tc>
      </w:tr>
      <w:tr>
        <w:tc>
          <w:tcPr>
            <w:tcW w:type="dxa" w:w="2880"/>
          </w:tcPr>
          <w:p>
            <w:r>
              <w:t>FIX-12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Commodity bucket assignment documented</w:t>
            </w:r>
          </w:p>
        </w:tc>
      </w:tr>
      <w:tr>
        <w:tc>
          <w:tcPr>
            <w:tcW w:type="dxa" w:w="2880"/>
          </w:tcPr>
          <w:p>
            <w:r>
              <w:t>**FIX-5a**</w:t>
            </w:r>
          </w:p>
        </w:tc>
        <w:tc>
          <w:tcPr>
            <w:tcW w:type="dxa" w:w="2880"/>
          </w:tcPr>
          <w:p>
            <w:r>
              <w:t>**HIGH**</w:t>
            </w:r>
          </w:p>
        </w:tc>
        <w:tc>
          <w:tcPr>
            <w:tcW w:type="dxa" w:w="2880"/>
          </w:tcPr>
          <w:p>
            <w:r>
              <w:t>**CSR_NS LH corrected 40→120d; CSR_SEC 60→120d; CSR_NS_IG added @60d (MAR33.12 Table 1)**</w:t>
            </w:r>
          </w:p>
        </w:tc>
      </w:tr>
      <w:tr>
        <w:tc>
          <w:tcPr>
            <w:tcW w:type="dxa" w:w="2880"/>
          </w:tcPr>
          <w:p>
            <w:r>
              <w:t>**FIX-5b**</w:t>
            </w:r>
          </w:p>
        </w:tc>
        <w:tc>
          <w:tcPr>
            <w:tcW w:type="dxa" w:w="2880"/>
          </w:tcPr>
          <w:p>
            <w:r>
              <w:t>**MEDIUM**</w:t>
            </w:r>
          </w:p>
        </w:tc>
        <w:tc>
          <w:tcPr>
            <w:tcW w:type="dxa" w:w="2880"/>
          </w:tcPr>
          <w:p>
            <w:r>
              <w:t>**IMACapitalRegister: 60-day rolling IMCC = max(ES_today, mc×ES_avg); mc floor 1.5 (MAR33.5)**</w:t>
            </w:r>
          </w:p>
        </w:tc>
      </w:tr>
    </w:tbl>
    <w:p>
      <w:pPr>
        <w:pStyle w:val="Heading2"/>
        <w:jc w:val="left"/>
      </w:pPr>
      <w:r>
        <w:t>7.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SBM</w:t>
            </w:r>
          </w:p>
        </w:tc>
        <w:tc>
          <w:tcPr>
            <w:tcW w:type="dxa" w:w="4320"/>
          </w:tcPr>
          <w:p>
            <w:r>
              <w:t>Sensitivities-Based Method</w:t>
            </w:r>
          </w:p>
        </w:tc>
      </w:tr>
      <w:tr>
        <w:tc>
          <w:tcPr>
            <w:tcW w:type="dxa" w:w="4320"/>
          </w:tcPr>
          <w:p>
            <w:r>
              <w:t>IMA</w:t>
            </w:r>
          </w:p>
        </w:tc>
        <w:tc>
          <w:tcPr>
            <w:tcW w:type="dxa" w:w="4320"/>
          </w:tcPr>
          <w:p>
            <w:r>
              <w:t>Internal Models Approach</w:t>
            </w:r>
          </w:p>
        </w:tc>
      </w:tr>
      <w:tr>
        <w:tc>
          <w:tcPr>
            <w:tcW w:type="dxa" w:w="4320"/>
          </w:tcPr>
          <w:p>
            <w:r>
              <w:t>ES</w:t>
            </w:r>
          </w:p>
        </w:tc>
        <w:tc>
          <w:tcPr>
            <w:tcW w:type="dxa" w:w="4320"/>
          </w:tcPr>
          <w:p>
            <w:r>
              <w:t>Expected Shortfall (97.5% confidence)</w:t>
            </w:r>
          </w:p>
        </w:tc>
      </w:tr>
      <w:tr>
        <w:tc>
          <w:tcPr>
            <w:tcW w:type="dxa" w:w="4320"/>
          </w:tcPr>
          <w:p>
            <w:r>
              <w:t>NMRF</w:t>
            </w:r>
          </w:p>
        </w:tc>
        <w:tc>
          <w:tcPr>
            <w:tcW w:type="dxa" w:w="4320"/>
          </w:tcPr>
          <w:p>
            <w:r>
              <w:t>Non-Modellable Risk Factor</w:t>
            </w:r>
          </w:p>
        </w:tc>
      </w:tr>
      <w:tr>
        <w:tc>
          <w:tcPr>
            <w:tcW w:type="dxa" w:w="4320"/>
          </w:tcPr>
          <w:p>
            <w:r>
              <w:t>SSRM</w:t>
            </w:r>
          </w:p>
        </w:tc>
        <w:tc>
          <w:tcPr>
            <w:tcW w:type="dxa" w:w="4320"/>
          </w:tcPr>
          <w:p>
            <w:r>
              <w:t>Stressed Scenario Risk Measure</w:t>
            </w:r>
          </w:p>
        </w:tc>
      </w:tr>
      <w:tr>
        <w:tc>
          <w:tcPr>
            <w:tcW w:type="dxa" w:w="4320"/>
          </w:tcPr>
          <w:p>
            <w:r>
              <w:t>GIRR</w:t>
            </w:r>
          </w:p>
        </w:tc>
        <w:tc>
          <w:tcPr>
            <w:tcW w:type="dxa" w:w="4320"/>
          </w:tcPr>
          <w:p>
            <w:r>
              <w:t>General Interest Rate Risk</w:t>
            </w:r>
          </w:p>
        </w:tc>
      </w:tr>
      <w:tr>
        <w:tc>
          <w:tcPr>
            <w:tcW w:type="dxa" w:w="4320"/>
          </w:tcPr>
          <w:p>
            <w:r>
              <w:t>CSR</w:t>
            </w:r>
          </w:p>
        </w:tc>
        <w:tc>
          <w:tcPr>
            <w:tcW w:type="dxa" w:w="4320"/>
          </w:tcPr>
          <w:p>
            <w:r>
              <w:t>Credit Spread Risk</w:t>
            </w:r>
          </w:p>
        </w:tc>
      </w:tr>
      <w:tr>
        <w:tc>
          <w:tcPr>
            <w:tcW w:type="dxa" w:w="4320"/>
          </w:tcPr>
          <w:p>
            <w:r>
              <w:t>CVR</w:t>
            </w:r>
          </w:p>
        </w:tc>
        <w:tc>
          <w:tcPr>
            <w:tcW w:type="dxa" w:w="4320"/>
          </w:tcPr>
          <w:p>
            <w:r>
              <w:t>Curvature Risk (CVR+ and CVR−)</w:t>
            </w:r>
          </w:p>
        </w:tc>
      </w:tr>
      <w:tr>
        <w:tc>
          <w:tcPr>
            <w:tcW w:type="dxa" w:w="4320"/>
          </w:tcPr>
          <w:p>
            <w:r>
              <w:t>WS</w:t>
            </w:r>
          </w:p>
        </w:tc>
        <w:tc>
          <w:tcPr>
            <w:tcW w:type="dxa" w:w="4320"/>
          </w:tcPr>
          <w:p>
            <w:r>
              <w:t>Weighted Sensitivity = RW × sensitivity</w:t>
            </w:r>
          </w:p>
        </w:tc>
      </w:tr>
      <w:tr>
        <w:tc>
          <w:tcPr>
            <w:tcW w:type="dxa" w:w="4320"/>
          </w:tcPr>
          <w:p>
            <w:r>
              <w:t>k</w:t>
            </w:r>
          </w:p>
        </w:tc>
        <w:tc>
          <w:tcPr>
            <w:tcW w:type="dxa" w:w="4320"/>
          </w:tcPr>
          <w:p>
            <w:r>
              <w:t>Backtesting capital multiplier (1.50–2.00)</w:t>
            </w:r>
          </w:p>
        </w:tc>
      </w:tr>
    </w:tbl>
    <w:p>
      <w:pPr>
        <w:pStyle w:val="Heading2"/>
        <w:jc w:val="left"/>
      </w:pPr>
      <w:r>
        <w:t>Appendix A — Delta Charge: IR Bond (GIRR)</w:t>
      </w:r>
    </w:p>
    <w:p>
      <w:r>
        <w:rPr>
          <w:b/>
        </w:rPr>
        <w:t>Setup:</w:t>
      </w:r>
      <w:r>
        <w:t xml:space="preserve"> Long $10M 5-year USD Treasury. Duration ≈ 4.5Y. Sensitivity to 5Y point: +$450,000.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WS_5Y = RW_5Y × s_5Y = 0.011 × 450,000 = $4,950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K_b (single bucket) = $4,950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Delta_GIRR = $4,950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 = 4,950 × 12.5 = $61,875</w:t>
      </w:r>
    </w:p>
    <w:p>
      <w:pPr>
        <w:pStyle w:val="Heading2"/>
        <w:jc w:val="left"/>
      </w:pPr>
      <w:r>
        <w:t>Appendix B — Equity Option: Delta + Vega + Curvature</w:t>
      </w:r>
    </w:p>
    <w:p>
      <w:r>
        <w:rPr>
          <w:b/>
        </w:rPr>
        <w:t>Setup:</w:t>
      </w:r>
      <w:r>
        <w:t xml:space="preserve"> Long AAPL call options. Bucket 5 (Large Cap Developed), RW = 30%.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Sensitivity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Delta</w:t>
            </w:r>
          </w:p>
        </w:tc>
        <w:tc>
          <w:tcPr>
            <w:tcW w:type="dxa" w:w="4320"/>
          </w:tcPr>
          <w:p>
            <w:r>
              <w:t>+$500,000</w:t>
            </w:r>
          </w:p>
        </w:tc>
      </w:tr>
      <w:tr>
        <w:tc>
          <w:tcPr>
            <w:tcW w:type="dxa" w:w="4320"/>
          </w:tcPr>
          <w:p>
            <w:r>
              <w:t>Vega</w:t>
            </w:r>
          </w:p>
        </w:tc>
        <w:tc>
          <w:tcPr>
            <w:tcW w:type="dxa" w:w="4320"/>
          </w:tcPr>
          <w:p>
            <w:r>
              <w:t>+$150,000</w:t>
            </w:r>
          </w:p>
        </w:tc>
      </w:tr>
    </w:tbl>
    <w:p>
      <w:pPr>
        <w:shd w:fill="F5F5F5"/>
      </w:pPr>
      <w:r>
        <w:rPr>
          <w:rFonts w:ascii="Courier New" w:hAnsi="Courier New"/>
          <w:color w:val="404040"/>
          <w:sz w:val="16"/>
        </w:rPr>
        <w:t>WS_delta = 0.30 × 500,000 = $150,000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WS_vega  = 0.30 × 150,000 = $45,000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Curvature: Long options → positive gamma → CVR typically ≤ 0 → K_curv = 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Total SBM = 150,000 + 45,000 + 0 = $195,000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 = 195,000 × 12.5 = $2,437,500</w:t>
      </w:r>
    </w:p>
    <w:p>
      <w:pPr>
        <w:pStyle w:val="Heading2"/>
        <w:jc w:val="left"/>
      </w:pPr>
      <w:r>
        <w:t>Appendix C — IMA Expected Shortfall</w:t>
      </w:r>
    </w:p>
    <w:p>
      <w:r>
        <w:rPr>
          <w:b/>
        </w:rPr>
        <w:t>Setup:</w:t>
      </w:r>
      <w:r>
        <w:t xml:space="preserve"> 250 scenarios. Seven worst losses (USD):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Rank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Loss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$5,200,000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$4,800,000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$4,200,000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$3,800,000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$3,500,000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$3,100,000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$2,900,000</w:t>
            </w:r>
          </w:p>
        </w:tc>
      </w:tr>
    </w:tbl>
    <w:p>
      <w:pPr>
        <w:shd w:fill="F5F5F5"/>
      </w:pPr>
      <w:r>
        <w:rPr>
          <w:rFonts w:ascii="Courier New" w:hAnsi="Courier New"/>
          <w:color w:val="404040"/>
          <w:sz w:val="16"/>
        </w:rPr>
        <w:t>tail_count = ceil(0.025 × 250) = 7   (FIX-05; was int() → 6)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ES = (5,200,000 + 4,800,000 + 4,200,000 + 3,800,000 + 3,500,000 + 3,100,000 + 2,900,000) / 7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27,500,000 / 7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$3,928,571</w:t>
      </w:r>
    </w:p>
    <w:p>
      <w:pPr>
        <w:pStyle w:val="Heading2"/>
        <w:jc w:val="left"/>
      </w:pPr>
      <w:r>
        <w:t>Appendix D — NMRF Charge</w:t>
      </w:r>
    </w:p>
    <w:p>
      <w:r>
        <w:rPr>
          <w:b/>
        </w:rPr>
        <w:t>Setup:</w:t>
      </w:r>
      <w:r>
        <w:t xml:space="preserve"> Private credit position; issuer has no CDS; only 12 dealer quotes/year → NMRF.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SSRM = Bank-estimated stressed loss from March 2020 scenario = $850,000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NMRF_capital = $850,000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NMRF_RWA     = $10,625,000</w:t>
      </w:r>
    </w:p>
    <w:p>
      <w:r>
        <w:t xml:space="preserve">Old flat proxy (FIX-07 removed): 0.0015 × $20M = $30,000 → </w:t>
      </w:r>
      <w:r>
        <w:rPr>
          <w:b/>
        </w:rPr>
        <w:t>understated by 97%</w:t>
      </w:r>
      <w:r>
        <w:t>.</w:t>
      </w:r>
    </w:p>
    <w:p>
      <w:pPr>
        <w:pStyle w:val="Heading2"/>
        <w:jc w:val="left"/>
      </w:pPr>
      <w:r>
        <w:t>Appendix E — Backtesting Traffic Light</w:t>
      </w:r>
    </w:p>
    <w:p>
      <w:r>
        <w:t>8 exceptions in 250 days → Yellow zone, k = 1.88.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IMA_capital = 1.88 × ES × 12.5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At 10 exceptions → Red zone → revert to SBM (regulatory floor)</w:t>
      </w:r>
    </w:p>
    <w:p>
      <w:r>
        <w:t>P&amp;L Attribution (MAR33): Hypothetical P&amp;L must be sufficiently correlated with Risk-Theoretical P&amp;L. Failure → IMA ineligible → SBM applies.</w:t>
      </w:r>
    </w:p>
    <w:p/>
    <w:p>
      <w:pPr>
        <w:ind w:left="720"/>
      </w:pPr>
      <w:r>
        <w:rPr>
          <w:i/>
        </w:rPr>
        <w:t>Source: FRTB_TECHNICAL_GUIDE.md</w:t>
        <w:br/>
      </w:r>
      <w:r>
        <w:rPr>
          <w:i/>
        </w:rPr>
        <w:t>Generated: 2026-05-03 18:06:21</w:t>
        <w:br/>
      </w:r>
      <w:r>
        <w:rPr>
          <w:i/>
        </w:rPr>
        <w:t>Prometheus Phase 2A Documentation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