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Prometheus Requirements Documentation</w:t>
      </w:r>
    </w:p>
    <w:p>
      <w:pPr>
        <w:pStyle w:val="Heading1"/>
        <w:jc w:val="left"/>
      </w:pPr>
      <w:r>
        <w:t>PROMETHEUS — Internal Models Method (IMM)</w:t>
      </w:r>
    </w:p>
    <w:p>
      <w:pPr>
        <w:pStyle w:val="Heading2"/>
        <w:jc w:val="left"/>
      </w:pPr>
      <w:r>
        <w:t>Technical Reference: EPE, EEPE &amp; All Functional Terms</w:t>
      </w:r>
    </w:p>
    <w:p>
      <w:r>
        <w:rPr>
          <w:b/>
        </w:rPr>
        <w:t>Regulatory Basis:</w:t>
      </w:r>
      <w:r>
        <w:t xml:space="preserve"> Basel III CRE53 / CRE51.15 (effective January 2023)</w:t>
      </w:r>
    </w:p>
    <w:p>
      <w:r>
        <w:rPr>
          <w:b/>
        </w:rPr>
        <w:t>Engine File:</w:t>
      </w:r>
      <w:r>
        <w:t xml:space="preserve"> `backend/engines/imm.py`</w:t>
      </w:r>
    </w:p>
    <w:p>
      <w:r>
        <w:rPr>
          <w:b/>
        </w:rPr>
        <w:t>Prepared:</w:t>
      </w:r>
      <w:r>
        <w:t xml:space="preserve"> April 2026 | </w:t>
      </w:r>
      <w:r>
        <w:rPr>
          <w:b/>
        </w:rPr>
        <w:t>Last Updated:</w:t>
      </w:r>
      <w:r>
        <w:t xml:space="preserve"> Version 3.9 — Apr-27-2026</w:t>
      </w:r>
    </w:p>
    <w:p>
      <w:r>
        <w:rPr>
          <w:b/>
        </w:rPr>
        <w:t>Key Changes (v3.8):</w:t>
      </w:r>
      <w:r>
        <w:t xml:space="preserve"> Fix 1 — dual-run max(current, stressed) EAD (CRE51.15); Fix 2 — EEPE 1yr window (CRE53); Fix B — per-asset-class GFC empirical stressed vols replacing 2× shortcut</w:t>
      </w:r>
    </w:p>
    <w:p>
      <w:r>
        <w:rPr>
          <w:b/>
        </w:rPr>
        <w:t>Key Changes (v3.9):</w:t>
      </w:r>
      <w:r>
        <w:t xml:space="preserve"> Full path-level CSA collateral simulation (CRE53 §margined EEPE) — VM MPOR-lagged paths, IM paths, two-tier method (path-level preferred / CRE53.22 fallback)</w:t>
      </w:r>
    </w:p>
    <w:p>
      <w:pPr>
        <w:pStyle w:val="Heading2"/>
        <w:jc w:val="left"/>
      </w:pPr>
      <w:r>
        <w:t>Table of Contents</w:t>
      </w:r>
    </w:p>
    <w:p>
      <w:pPr>
        <w:pStyle w:val="ListNumber"/>
      </w:pPr>
      <w:r>
        <w:t>[What Is IMM?](#1-what-is-imm)</w:t>
      </w:r>
    </w:p>
    <w:p>
      <w:pPr>
        <w:pStyle w:val="ListNumber"/>
      </w:pPr>
      <w:r>
        <w:t>[The IMM Calculation Pipeline](#2-the-imm-calculation-pipeline)</w:t>
      </w:r>
    </w:p>
    <w:p>
      <w:pPr>
        <w:pStyle w:val="ListNumber"/>
      </w:pPr>
      <w:r>
        <w:t>[Monte Carlo Simulation Framework](#3-monte-carlo-simulation-framework)</w:t>
      </w:r>
    </w:p>
    <w:p>
      <w:pPr>
        <w:pStyle w:val="ListNumber"/>
      </w:pPr>
      <w:r>
        <w:t>[All Exposure Metrics — Definitions &amp; Formulas](#4-all-exposure-metrics--definitions--formulas)</w:t>
      </w:r>
    </w:p>
    <w:p>
      <w:pPr>
        <w:pStyle w:val="ListNumber"/>
      </w:pPr>
      <w:r>
        <w:t>[Stochastic Process Models](#5-stochastic-process-models)</w:t>
      </w:r>
    </w:p>
    <w:p>
      <w:pPr>
        <w:pStyle w:val="ListNumber"/>
      </w:pPr>
      <w:r>
        <w:t>[Correlation &amp; Factor Model](#6-correlation--factor-model)</w:t>
      </w:r>
    </w:p>
    <w:p>
      <w:pPr>
        <w:pStyle w:val="ListNumber"/>
      </w:pPr>
      <w:r>
        <w:t>[Stressed EEPE — 2007–2009 Calibration](#7-stressed-eepe--20072009-calibration)</w:t>
      </w:r>
    </w:p>
    <w:p>
      <w:pPr>
        <w:pStyle w:val="ListNumber"/>
      </w:pPr>
      <w:r>
        <w:t>[CSA / Collateral Adjustment — Path-Level Margined EEPE (Version 3.9)](#8-csa--collateral-adjustment)</w:t>
      </w:r>
    </w:p>
    <w:p>
      <w:pPr>
        <w:pStyle w:val="ListNumber"/>
      </w:pPr>
      <w:r>
        <w:t>[Credit Valuation Adjustment (CVA)](#9-credit-valuation-adjustment-cva)</w:t>
      </w:r>
    </w:p>
    <w:p>
      <w:pPr>
        <w:pStyle w:val="ListNumber"/>
      </w:pPr>
      <w:r>
        <w:t>[Dynamic Initial Margin (DIM)](#10-dynamic-initial-margin-dim)</w:t>
      </w:r>
    </w:p>
    <w:p>
      <w:pPr>
        <w:pStyle w:val="ListNumber"/>
      </w:pPr>
      <w:r>
        <w:t>[FRTB Counterparty Risk Add-On](#11-frtb-counterparty-risk-add-on)</w:t>
      </w:r>
    </w:p>
    <w:p>
      <w:pPr>
        <w:pStyle w:val="ListNumber"/>
      </w:pPr>
      <w:r>
        <w:t>[Sensitivity Analysis — Greeks](#12-sensitivity-analysis--greeks)</w:t>
      </w:r>
    </w:p>
    <w:p>
      <w:pPr>
        <w:pStyle w:val="ListNumber"/>
      </w:pPr>
      <w:r>
        <w:t>[Incremental &amp; Marginal Risk](#13-incremental--marginal-risk)</w:t>
      </w:r>
    </w:p>
    <w:p>
      <w:pPr>
        <w:pStyle w:val="ListNumber"/>
      </w:pPr>
      <w:r>
        <w:t>[Stress Test Scenarios](#14-stress-test-scenarios)</w:t>
      </w:r>
    </w:p>
    <w:p>
      <w:pPr>
        <w:pStyle w:val="ListNumber"/>
      </w:pPr>
      <w:r>
        <w:t>[RWA Derivation](#15-rwa-derivation)</w:t>
      </w:r>
    </w:p>
    <w:p>
      <w:pPr>
        <w:pStyle w:val="ListNumber"/>
      </w:pPr>
      <w:r>
        <w:t>[Configuration Parameters](#16-configuration-parameters)</w:t>
      </w:r>
    </w:p>
    <w:p>
      <w:pPr>
        <w:pStyle w:val="ListNumber"/>
      </w:pPr>
      <w:r>
        <w:t>[Complete Glossary of All Terms](#17-complete-glossary-of-all-terms)</w:t>
      </w:r>
    </w:p>
    <w:p>
      <w:pPr>
        <w:pStyle w:val="ListNumber"/>
      </w:pPr>
      <w:r>
        <w:t>[Appendix A: Monte Carlo Walk-Through — Equity Trade](#appendix-a-monte-carlo-simulation-walk-through--single-equity-trade)</w:t>
      </w:r>
    </w:p>
    <w:p>
      <w:pPr>
        <w:pStyle w:val="ListNumber"/>
      </w:pPr>
      <w:r>
        <w:t>[Appendix B: End-to-End Numeric Example (3-Trade Portfolio)](#appendix-b-end-to-end-numeric-example)</w:t>
      </w:r>
    </w:p>
    <w:p>
      <w:pPr>
        <w:pStyle w:val="ListNumber"/>
      </w:pPr>
      <w:r>
        <w:t>[Appendix C: Monte Carlo Walk-Through — Interest Rate Trade](#appendix-c-monte-carlo-simulation-walk-through--interest-rate-trade)</w:t>
      </w:r>
    </w:p>
    <w:p>
      <w:pPr>
        <w:pStyle w:val="ListNumber"/>
      </w:pPr>
      <w:r>
        <w:t>[Appendix D: Monte Carlo Walk-Through — FX Trade](#appendix-d-monte-carlo-simulation-walk-through--fx-trade)</w:t>
      </w:r>
    </w:p>
    <w:p>
      <w:pPr>
        <w:pStyle w:val="ListNumber"/>
      </w:pPr>
      <w:r>
        <w:t>[Appendix E: Monte Carlo Walk-Through — Commodity Trade](#appendix-e-monte-carlo-simulation-walk-through--commodity-trade)</w:t>
      </w:r>
    </w:p>
    <w:p>
      <w:pPr>
        <w:pStyle w:val="ListNumber"/>
      </w:pPr>
      <w:r>
        <w:t>[Appendix F: Monte Carlo Walk-Through — Credit Derivative Trade](#appendix-f-monte-carlo-simulation-walk-through--credit-derivative-trade)</w:t>
      </w:r>
    </w:p>
    <w:p>
      <w:pPr>
        <w:pStyle w:val="Heading2"/>
        <w:jc w:val="left"/>
      </w:pPr>
      <w:r>
        <w:t>1. What Is IMM?</w:t>
      </w:r>
    </w:p>
    <w:p>
      <w:r>
        <w:t xml:space="preserve">The </w:t>
      </w:r>
      <w:r>
        <w:rPr>
          <w:b/>
        </w:rPr>
        <w:t>Internal Models Method (IMM)</w:t>
      </w:r>
      <w:r>
        <w:t xml:space="preserve"> is the most advanced of the three Basel III approaches for computing </w:t>
      </w:r>
      <w:r>
        <w:rPr>
          <w:b/>
        </w:rPr>
        <w:t>Exposure at Default (EAD)</w:t>
      </w:r>
      <w:r>
        <w:t xml:space="preserve"> for OTC derivatives and securities financing transactions (SFTs). It replaces the simple SA-CCR look-up tables with a full Monte Carlo simulation of future market states.</w:t>
      </w:r>
    </w:p>
    <w:p>
      <w:pPr>
        <w:pStyle w:val="Heading3"/>
        <w:jc w:val="left"/>
      </w:pPr>
      <w:r>
        <w:t>Why Banks Use IMM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Approach</w:t>
            </w:r>
          </w:p>
        </w:tc>
        <w:tc>
          <w:tcPr>
            <w:tcW w:type="dxa" w:w="2880"/>
          </w:tcPr>
          <w:p>
            <w:r>
              <w:rPr>
                <w:b/>
                <w:sz w:val="20"/>
              </w:rPr>
              <w:t>EAD Method</w:t>
            </w:r>
          </w:p>
        </w:tc>
        <w:tc>
          <w:tcPr>
            <w:tcW w:type="dxa" w:w="2880"/>
          </w:tcPr>
          <w:p>
            <w:r>
              <w:rPr>
                <w:b/>
                <w:sz w:val="20"/>
              </w:rPr>
              <w:t>Capital Relief vs. SA-CCR</w:t>
            </w:r>
          </w:p>
        </w:tc>
      </w:tr>
      <w:tr>
        <w:tc>
          <w:tcPr>
            <w:tcW w:type="dxa" w:w="2880"/>
          </w:tcPr>
          <w:p>
            <w:r>
              <w:t>Current Exposure Method (CEM)</w:t>
            </w:r>
          </w:p>
        </w:tc>
        <w:tc>
          <w:tcPr>
            <w:tcW w:type="dxa" w:w="2880"/>
          </w:tcPr>
          <w:p>
            <w:r>
              <w:t>Notional × add-on factor</w:t>
            </w:r>
          </w:p>
        </w:tc>
        <w:tc>
          <w:tcPr>
            <w:tcW w:type="dxa" w:w="2880"/>
          </w:tcPr>
          <w:p>
            <w:r>
              <w:t>None (legacy)</w:t>
            </w:r>
          </w:p>
        </w:tc>
      </w:tr>
      <w:tr>
        <w:tc>
          <w:tcPr>
            <w:tcW w:type="dxa" w:w="2880"/>
          </w:tcPr>
          <w:p>
            <w:r>
              <w:t>SA-CCR</w:t>
            </w:r>
          </w:p>
        </w:tc>
        <w:tc>
          <w:tcPr>
            <w:tcW w:type="dxa" w:w="2880"/>
          </w:tcPr>
          <w:p>
            <w:r>
              <w:t>RC + PFE (supervisory deltas)</w:t>
            </w:r>
          </w:p>
        </w:tc>
        <w:tc>
          <w:tcPr>
            <w:tcW w:type="dxa" w:w="2880"/>
          </w:tcPr>
          <w:p>
            <w:r>
              <w:t>Moderate</w:t>
            </w:r>
          </w:p>
        </w:tc>
      </w:tr>
      <w:tr>
        <w:tc>
          <w:tcPr>
            <w:tcW w:type="dxa" w:w="2880"/>
          </w:tcPr>
          <w:p>
            <w:r>
              <w:t>**IMM**</w:t>
            </w:r>
          </w:p>
        </w:tc>
        <w:tc>
          <w:tcPr>
            <w:tcW w:type="dxa" w:w="2880"/>
          </w:tcPr>
          <w:p>
            <w:r>
              <w:t>**α × EEPE (simulated)**</w:t>
            </w:r>
          </w:p>
        </w:tc>
        <w:tc>
          <w:tcPr>
            <w:tcW w:type="dxa" w:w="2880"/>
          </w:tcPr>
          <w:p>
            <w:r>
              <w:t>**Highest — up to 40–60% lower capital**</w:t>
            </w:r>
          </w:p>
        </w:tc>
      </w:tr>
    </w:tbl>
    <w:p>
      <w:r>
        <w:t>IMM approval requires explicit supervisory sign-off (CRE53.1–53.5). G-SIBs typically run IMM alongside SA-CCR for validation.</w:t>
      </w:r>
    </w:p>
    <w:p>
      <w:pPr>
        <w:pStyle w:val="Heading2"/>
        <w:jc w:val="left"/>
      </w:pPr>
      <w:r>
        <w:t>2. The IMM Calculation Pipeline</w:t>
      </w:r>
    </w:p>
    <w:p>
      <w:r>
        <w:t>Every IMM run flows through these exact steps in the PROMETHEUS engine:</w:t>
      </w:r>
    </w:p>
    <w:p>
      <w:pPr>
        <w:shd w:fill="F5F5F5"/>
      </w:pPr>
      <w:r>
        <w:rPr>
          <w:rFonts w:ascii="Courier New" w:hAnsi="Courier New"/>
          <w:color w:val="404040"/>
          <w:sz w:val="16"/>
        </w:rPr>
        <w:t>Trades (N instruments)</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w:t>
      </w:r>
    </w:p>
    <w:p>
      <w:pPr>
        <w:shd w:fill="F5F5F5"/>
      </w:pPr>
      <w:r>
        <w:rPr>
          <w:rFonts w:ascii="Courier New" w:hAnsi="Courier New"/>
          <w:color w:val="404040"/>
          <w:sz w:val="16"/>
        </w:rPr>
        <w:t>┌─────────────────────────────────────────────┐</w:t>
      </w:r>
    </w:p>
    <w:p>
      <w:pPr>
        <w:shd w:fill="F5F5F5"/>
      </w:pPr>
      <w:r>
        <w:rPr>
          <w:rFonts w:ascii="Courier New" w:hAnsi="Courier New"/>
          <w:color w:val="404040"/>
          <w:sz w:val="16"/>
        </w:rPr>
        <w:t>│   Step 1: Monte Carlo Path Generation        │</w:t>
      </w:r>
    </w:p>
    <w:p>
      <w:pPr>
        <w:shd w:fill="F5F5F5"/>
      </w:pPr>
      <w:r>
        <w:rPr>
          <w:rFonts w:ascii="Courier New" w:hAnsi="Courier New"/>
          <w:color w:val="404040"/>
          <w:sz w:val="16"/>
        </w:rPr>
        <w:t>│   • GBM for EQ, FX, CMDTY                   │</w:t>
      </w:r>
    </w:p>
    <w:p>
      <w:pPr>
        <w:shd w:fill="F5F5F5"/>
      </w:pPr>
      <w:r>
        <w:rPr>
          <w:rFonts w:ascii="Courier New" w:hAnsi="Courier New"/>
          <w:color w:val="404040"/>
          <w:sz w:val="16"/>
        </w:rPr>
        <w:t>│   • Hull-White 1F for IR                    │</w:t>
      </w:r>
    </w:p>
    <w:p>
      <w:pPr>
        <w:shd w:fill="F5F5F5"/>
      </w:pPr>
      <w:r>
        <w:rPr>
          <w:rFonts w:ascii="Courier New" w:hAnsi="Courier New"/>
          <w:color w:val="404040"/>
          <w:sz w:val="16"/>
        </w:rPr>
        <w:t>│   • Antithetic variance reduction (2× paths)│</w:t>
      </w:r>
    </w:p>
    <w:p>
      <w:pPr>
        <w:shd w:fill="F5F5F5"/>
      </w:pPr>
      <w:r>
        <w:rPr>
          <w:rFonts w:ascii="Courier New" w:hAnsi="Courier New"/>
          <w:color w:val="404040"/>
          <w:sz w:val="16"/>
        </w:rPr>
        <w:t>│   • Correlated draws via Cholesky factoring │</w:t>
      </w:r>
    </w:p>
    <w:p>
      <w:pPr>
        <w:shd w:fill="F5F5F5"/>
      </w:pPr>
      <w:r>
        <w:rPr>
          <w:rFonts w:ascii="Courier New" w:hAnsi="Courier New"/>
          <w:color w:val="404040"/>
          <w:sz w:val="16"/>
        </w:rPr>
        <w:t>└──────────────────┬──────────────────────────┘</w:t>
      </w:r>
    </w:p>
    <w:p>
      <w:pPr>
        <w:shd w:fill="F5F5F5"/>
      </w:pPr>
      <w:r>
        <w:rPr>
          <w:rFonts w:ascii="Courier New" w:hAnsi="Courier New"/>
          <w:color w:val="404040"/>
          <w:sz w:val="16"/>
        </w:rPr>
        <w:t xml:space="preserve">                   │  (N_eff × T) paths per risk factor</w:t>
      </w:r>
    </w:p>
    <w:p>
      <w:pPr>
        <w:shd w:fill="F5F5F5"/>
      </w:pPr>
      <w:r>
        <w:rPr>
          <w:rFonts w:ascii="Courier New" w:hAnsi="Courier New"/>
          <w:color w:val="404040"/>
          <w:sz w:val="16"/>
        </w:rPr>
        <w:t xml:space="preserve">                   ▼</w:t>
      </w:r>
    </w:p>
    <w:p>
      <w:pPr>
        <w:shd w:fill="F5F5F5"/>
      </w:pPr>
      <w:r>
        <w:rPr>
          <w:rFonts w:ascii="Courier New" w:hAnsi="Courier New"/>
          <w:color w:val="404040"/>
          <w:sz w:val="16"/>
        </w:rPr>
        <w:t>┌─────────────────────────────────────────────┐</w:t>
      </w:r>
    </w:p>
    <w:p>
      <w:pPr>
        <w:shd w:fill="F5F5F5"/>
      </w:pPr>
      <w:r>
        <w:rPr>
          <w:rFonts w:ascii="Courier New" w:hAnsi="Courier New"/>
          <w:color w:val="404040"/>
          <w:sz w:val="16"/>
        </w:rPr>
        <w:t>│   Step 2: MtM Valuation at Each Time Step   │</w:t>
      </w:r>
    </w:p>
    <w:p>
      <w:pPr>
        <w:shd w:fill="F5F5F5"/>
      </w:pPr>
      <w:r>
        <w:rPr>
          <w:rFonts w:ascii="Courier New" w:hAnsi="Courier New"/>
          <w:color w:val="404040"/>
          <w:sz w:val="16"/>
        </w:rPr>
        <w:t>│   • MtM(t) = notional × direction × Δprice │</w:t>
      </w:r>
    </w:p>
    <w:p>
      <w:pPr>
        <w:shd w:fill="F5F5F5"/>
      </w:pPr>
      <w:r>
        <w:rPr>
          <w:rFonts w:ascii="Courier New" w:hAnsi="Courier New"/>
          <w:color w:val="404040"/>
          <w:sz w:val="16"/>
        </w:rPr>
        <w:t>│   • Bond pricing w/ convexity for IR trades │</w:t>
      </w:r>
    </w:p>
    <w:p>
      <w:pPr>
        <w:shd w:fill="F5F5F5"/>
      </w:pPr>
      <w:r>
        <w:rPr>
          <w:rFonts w:ascii="Courier New" w:hAnsi="Courier New"/>
          <w:color w:val="404040"/>
          <w:sz w:val="16"/>
        </w:rPr>
        <w:t>└──────────────────┬──────────────────────────┘</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w:t>
      </w:r>
    </w:p>
    <w:p>
      <w:pPr>
        <w:shd w:fill="F5F5F5"/>
      </w:pPr>
      <w:r>
        <w:rPr>
          <w:rFonts w:ascii="Courier New" w:hAnsi="Courier New"/>
          <w:color w:val="404040"/>
          <w:sz w:val="16"/>
        </w:rPr>
        <w:t>┌─────────────────────────────────────────────┐</w:t>
      </w:r>
    </w:p>
    <w:p>
      <w:pPr>
        <w:shd w:fill="F5F5F5"/>
      </w:pPr>
      <w:r>
        <w:rPr>
          <w:rFonts w:ascii="Courier New" w:hAnsi="Courier New"/>
          <w:color w:val="404040"/>
          <w:sz w:val="16"/>
        </w:rPr>
        <w:t>│   Step 3: Netting Set Aggregation           │</w:t>
      </w:r>
    </w:p>
    <w:p>
      <w:pPr>
        <w:shd w:fill="F5F5F5"/>
      </w:pPr>
      <w:r>
        <w:rPr>
          <w:rFonts w:ascii="Courier New" w:hAnsi="Courier New"/>
          <w:color w:val="404040"/>
          <w:sz w:val="16"/>
        </w:rPr>
        <w:t>│   • Net MtM = Σ MtM(trade i) per scenario   │</w:t>
      </w:r>
    </w:p>
    <w:p>
      <w:pPr>
        <w:shd w:fill="F5F5F5"/>
      </w:pPr>
      <w:r>
        <w:rPr>
          <w:rFonts w:ascii="Courier New" w:hAnsi="Courier New"/>
          <w:color w:val="404040"/>
          <w:sz w:val="16"/>
        </w:rPr>
        <w:t>│   • Exposure = max(Net MtM, 0)              │</w:t>
      </w:r>
    </w:p>
    <w:p>
      <w:pPr>
        <w:shd w:fill="F5F5F5"/>
      </w:pPr>
      <w:r>
        <w:rPr>
          <w:rFonts w:ascii="Courier New" w:hAnsi="Courier New"/>
          <w:color w:val="404040"/>
          <w:sz w:val="16"/>
        </w:rPr>
        <w:t>└──────────────────┬──────────────────────────┘</w:t>
      </w:r>
    </w:p>
    <w:p>
      <w:pPr>
        <w:shd w:fill="F5F5F5"/>
      </w:pPr>
      <w:r>
        <w:rPr>
          <w:rFonts w:ascii="Courier New" w:hAnsi="Courier New"/>
          <w:color w:val="404040"/>
          <w:sz w:val="16"/>
        </w:rPr>
        <w:t xml:space="preserve">                   │  Exposure matrix: (N_eff × T)</w:t>
      </w:r>
    </w:p>
    <w:p>
      <w:pPr>
        <w:shd w:fill="F5F5F5"/>
      </w:pPr>
      <w:r>
        <w:rPr>
          <w:rFonts w:ascii="Courier New" w:hAnsi="Courier New"/>
          <w:color w:val="404040"/>
          <w:sz w:val="16"/>
        </w:rPr>
        <w:t xml:space="preserve">                   ▼</w:t>
      </w:r>
    </w:p>
    <w:p>
      <w:pPr>
        <w:shd w:fill="F5F5F5"/>
      </w:pPr>
      <w:r>
        <w:rPr>
          <w:rFonts w:ascii="Courier New" w:hAnsi="Courier New"/>
          <w:color w:val="404040"/>
          <w:sz w:val="16"/>
        </w:rPr>
        <w:t>┌─────────────────────────────────────────────┐</w:t>
      </w:r>
    </w:p>
    <w:p>
      <w:pPr>
        <w:shd w:fill="F5F5F5"/>
      </w:pPr>
      <w:r>
        <w:rPr>
          <w:rFonts w:ascii="Courier New" w:hAnsi="Courier New"/>
          <w:color w:val="404040"/>
          <w:sz w:val="16"/>
        </w:rPr>
        <w:t>│   Step 4: Exposure Profile Construction     │</w:t>
      </w:r>
    </w:p>
    <w:p>
      <w:pPr>
        <w:shd w:fill="F5F5F5"/>
      </w:pPr>
      <w:r>
        <w:rPr>
          <w:rFonts w:ascii="Courier New" w:hAnsi="Courier New"/>
          <w:color w:val="404040"/>
          <w:sz w:val="16"/>
        </w:rPr>
        <w:t>│   • EE(t)  = mean across scenarios          │</w:t>
      </w:r>
    </w:p>
    <w:p>
      <w:pPr>
        <w:shd w:fill="F5F5F5"/>
      </w:pPr>
      <w:r>
        <w:rPr>
          <w:rFonts w:ascii="Courier New" w:hAnsi="Courier New"/>
          <w:color w:val="404040"/>
          <w:sz w:val="16"/>
        </w:rPr>
        <w:t>│   • EEE(t) = max(EE(t), EEE(t-1))          │  ← non-decreasing</w:t>
      </w:r>
    </w:p>
    <w:p>
      <w:pPr>
        <w:shd w:fill="F5F5F5"/>
      </w:pPr>
      <w:r>
        <w:rPr>
          <w:rFonts w:ascii="Courier New" w:hAnsi="Courier New"/>
          <w:color w:val="404040"/>
          <w:sz w:val="16"/>
        </w:rPr>
        <w:t>│   • PFE(t) = 95th percentile                │</w:t>
      </w:r>
    </w:p>
    <w:p>
      <w:pPr>
        <w:shd w:fill="F5F5F5"/>
      </w:pPr>
      <w:r>
        <w:rPr>
          <w:rFonts w:ascii="Courier New" w:hAnsi="Courier New"/>
          <w:color w:val="404040"/>
          <w:sz w:val="16"/>
        </w:rPr>
        <w:t>└──────────────────┬──────────────────────────┘</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w:t>
      </w:r>
    </w:p>
    <w:p>
      <w:pPr>
        <w:shd w:fill="F5F5F5"/>
      </w:pPr>
      <w:r>
        <w:rPr>
          <w:rFonts w:ascii="Courier New" w:hAnsi="Courier New"/>
          <w:color w:val="404040"/>
          <w:sz w:val="16"/>
        </w:rPr>
        <w:t>┌─────────────────────────────────────────────┐</w:t>
      </w:r>
    </w:p>
    <w:p>
      <w:pPr>
        <w:shd w:fill="F5F5F5"/>
      </w:pPr>
      <w:r>
        <w:rPr>
          <w:rFonts w:ascii="Courier New" w:hAnsi="Courier New"/>
          <w:color w:val="404040"/>
          <w:sz w:val="16"/>
        </w:rPr>
        <w:t>│   Step 5: Regulatory Metrics                │</w:t>
      </w:r>
    </w:p>
    <w:p>
      <w:pPr>
        <w:shd w:fill="F5F5F5"/>
      </w:pPr>
      <w:r>
        <w:rPr>
          <w:rFonts w:ascii="Courier New" w:hAnsi="Courier New"/>
          <w:color w:val="404040"/>
          <w:sz w:val="16"/>
        </w:rPr>
        <w:t>│   • EPE  = avg(EE)  over [0, 1yr]           │</w:t>
      </w:r>
    </w:p>
    <w:p>
      <w:pPr>
        <w:shd w:fill="F5F5F5"/>
      </w:pPr>
      <w:r>
        <w:rPr>
          <w:rFonts w:ascii="Courier New" w:hAnsi="Courier New"/>
          <w:color w:val="404040"/>
          <w:sz w:val="16"/>
        </w:rPr>
        <w:t>│   • EEPE = avg(EEE) over [0, 1yr]           │</w:t>
      </w:r>
    </w:p>
    <w:p>
      <w:pPr>
        <w:shd w:fill="F5F5F5"/>
      </w:pPr>
      <w:r>
        <w:rPr>
          <w:rFonts w:ascii="Courier New" w:hAnsi="Courier New"/>
          <w:color w:val="404040"/>
          <w:sz w:val="16"/>
        </w:rPr>
        <w:t>│   • EAD  = α × EEPE    (α = 1.4)           │</w:t>
      </w:r>
    </w:p>
    <w:p>
      <w:pPr>
        <w:shd w:fill="F5F5F5"/>
      </w:pPr>
      <w:r>
        <w:rPr>
          <w:rFonts w:ascii="Courier New" w:hAnsi="Courier New"/>
          <w:color w:val="404040"/>
          <w:sz w:val="16"/>
        </w:rPr>
        <w:t>└──────────────────┬──────────────────────────┘</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w:t>
      </w:r>
    </w:p>
    <w:p>
      <w:pPr>
        <w:shd w:fill="F5F5F5"/>
      </w:pPr>
      <w:r>
        <w:rPr>
          <w:rFonts w:ascii="Courier New" w:hAnsi="Courier New"/>
          <w:color w:val="404040"/>
          <w:sz w:val="16"/>
        </w:rPr>
        <w:t>┌─────────────────────────────────────────────┐</w:t>
      </w:r>
    </w:p>
    <w:p>
      <w:pPr>
        <w:shd w:fill="F5F5F5"/>
      </w:pPr>
      <w:r>
        <w:rPr>
          <w:rFonts w:ascii="Courier New" w:hAnsi="Courier New"/>
          <w:color w:val="404040"/>
          <w:sz w:val="16"/>
        </w:rPr>
        <w:t>│   Step 6: Stressed EEPE (parallel run)      │</w:t>
      </w:r>
    </w:p>
    <w:p>
      <w:pPr>
        <w:shd w:fill="F5F5F5"/>
      </w:pPr>
      <w:r>
        <w:rPr>
          <w:rFonts w:ascii="Courier New" w:hAnsi="Courier New"/>
          <w:color w:val="404040"/>
          <w:sz w:val="16"/>
        </w:rPr>
        <w:t>│   • Re-simulate with 2007–09 stressed vols  │</w:t>
      </w:r>
    </w:p>
    <w:p>
      <w:pPr>
        <w:shd w:fill="F5F5F5"/>
      </w:pPr>
      <w:r>
        <w:rPr>
          <w:rFonts w:ascii="Courier New" w:hAnsi="Courier New"/>
          <w:color w:val="404040"/>
          <w:sz w:val="16"/>
        </w:rPr>
        <w:t>│   • Stressed EAD = α × Stressed EEPE       │</w:t>
      </w:r>
    </w:p>
    <w:p>
      <w:pPr>
        <w:shd w:fill="F5F5F5"/>
      </w:pPr>
      <w:r>
        <w:rPr>
          <w:rFonts w:ascii="Courier New" w:hAnsi="Courier New"/>
          <w:color w:val="404040"/>
          <w:sz w:val="16"/>
        </w:rPr>
        <w:t>└──────────────────┬──────────────────────────┘</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w:t>
      </w:r>
    </w:p>
    <w:p>
      <w:pPr>
        <w:shd w:fill="F5F5F5"/>
      </w:pPr>
      <w:r>
        <w:rPr>
          <w:rFonts w:ascii="Courier New" w:hAnsi="Courier New"/>
          <w:color w:val="404040"/>
          <w:sz w:val="16"/>
        </w:rPr>
        <w:t>┌─────────────────────────────────────────────┐</w:t>
      </w:r>
    </w:p>
    <w:p>
      <w:pPr>
        <w:shd w:fill="F5F5F5"/>
      </w:pPr>
      <w:r>
        <w:rPr>
          <w:rFonts w:ascii="Courier New" w:hAnsi="Courier New"/>
          <w:color w:val="404040"/>
          <w:sz w:val="16"/>
        </w:rPr>
        <w:t>│   Step 7: CSA / Collateral Adjustment (v3.9)│</w:t>
      </w:r>
    </w:p>
    <w:p>
      <w:pPr>
        <w:shd w:fill="F5F5F5"/>
      </w:pPr>
      <w:r>
        <w:rPr>
          <w:rFonts w:ascii="Courier New" w:hAnsi="Courier New"/>
          <w:color w:val="404040"/>
          <w:sz w:val="16"/>
        </w:rPr>
        <w:t>│   Tier 1 — Path-Level (CRE53 preferred):    │</w:t>
      </w:r>
    </w:p>
    <w:p>
      <w:pPr>
        <w:shd w:fill="F5F5F5"/>
      </w:pPr>
      <w:r>
        <w:rPr>
          <w:rFonts w:ascii="Courier New" w:hAnsi="Courier New"/>
          <w:color w:val="404040"/>
          <w:sz w:val="16"/>
        </w:rPr>
        <w:t>│   • VM paths: MPOR-lagged call amounts       │</w:t>
      </w:r>
    </w:p>
    <w:p>
      <w:pPr>
        <w:shd w:fill="F5F5F5"/>
      </w:pPr>
      <w:r>
        <w:rPr>
          <w:rFonts w:ascii="Courier New" w:hAnsi="Courier New"/>
          <w:color w:val="404040"/>
          <w:sz w:val="16"/>
        </w:rPr>
        <w:t>│   • IM paths: fixed + dynamic components    │</w:t>
      </w:r>
    </w:p>
    <w:p>
      <w:pPr>
        <w:shd w:fill="F5F5F5"/>
      </w:pPr>
      <w:r>
        <w:rPr>
          <w:rFonts w:ascii="Courier New" w:hAnsi="Courier New"/>
          <w:color w:val="404040"/>
          <w:sz w:val="16"/>
        </w:rPr>
        <w:t>│   • Net(t,i) = max(MtM-VM-IM, TH+MTA-NICA) │</w:t>
      </w:r>
    </w:p>
    <w:p>
      <w:pPr>
        <w:shd w:fill="F5F5F5"/>
      </w:pPr>
      <w:r>
        <w:rPr>
          <w:rFonts w:ascii="Courier New" w:hAnsi="Courier New"/>
          <w:color w:val="404040"/>
          <w:sz w:val="16"/>
        </w:rPr>
        <w:t>│   • EAD_csa  = α × EEPE_margined            │</w:t>
      </w:r>
    </w:p>
    <w:p>
      <w:pPr>
        <w:shd w:fill="F5F5F5"/>
      </w:pPr>
      <w:r>
        <w:rPr>
          <w:rFonts w:ascii="Courier New" w:hAnsi="Courier New"/>
          <w:color w:val="404040"/>
          <w:sz w:val="16"/>
        </w:rPr>
        <w:t>│   Tier 2 — CRE53.22 fallback (no paths):   │</w:t>
      </w:r>
    </w:p>
    <w:p>
      <w:pPr>
        <w:shd w:fill="F5F5F5"/>
      </w:pPr>
      <w:r>
        <w:rPr>
          <w:rFonts w:ascii="Courier New" w:hAnsi="Courier New"/>
          <w:color w:val="404040"/>
          <w:sz w:val="16"/>
        </w:rPr>
        <w:t>│   • EEPE_mpor = EEPE × √(MPOR / 250)        │</w:t>
      </w:r>
    </w:p>
    <w:p>
      <w:pPr>
        <w:shd w:fill="F5F5F5"/>
      </w:pPr>
      <w:r>
        <w:rPr>
          <w:rFonts w:ascii="Courier New" w:hAnsi="Courier New"/>
          <w:color w:val="404040"/>
          <w:sz w:val="16"/>
        </w:rPr>
        <w:t>│   • EAD_csa = α × (RC_csa + EEPE_mpor)     │</w:t>
      </w:r>
    </w:p>
    <w:p>
      <w:pPr>
        <w:shd w:fill="F5F5F5"/>
      </w:pPr>
      <w:r>
        <w:rPr>
          <w:rFonts w:ascii="Courier New" w:hAnsi="Courier New"/>
          <w:color w:val="404040"/>
          <w:sz w:val="16"/>
        </w:rPr>
        <w:t>└──────────────────┬──────────────────────────┘</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CVA / DIM / FRTB add-ons</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RWA = EAD × RW × 12.5 × 8%</w:t>
      </w:r>
    </w:p>
    <w:p>
      <w:pPr>
        <w:pStyle w:val="Heading2"/>
        <w:jc w:val="left"/>
      </w:pPr>
      <w:r>
        <w:t>3. Monte Carlo Simulation Framework</w:t>
      </w:r>
    </w:p>
    <w:p>
      <w:pPr>
        <w:pStyle w:val="Heading3"/>
        <w:jc w:val="left"/>
      </w:pPr>
      <w:r>
        <w:t>3.1 Scenario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Description</w:t>
            </w:r>
          </w:p>
        </w:tc>
      </w:tr>
      <w:tr>
        <w:tc>
          <w:tcPr>
            <w:tcW w:type="dxa" w:w="2880"/>
          </w:tcPr>
          <w:p>
            <w:r>
              <w:t>`num_scenarios`</w:t>
            </w:r>
          </w:p>
        </w:tc>
        <w:tc>
          <w:tcPr>
            <w:tcW w:type="dxa" w:w="2880"/>
          </w:tcPr>
          <w:p>
            <w:r>
              <w:t>2,000 base</w:t>
            </w:r>
          </w:p>
        </w:tc>
        <w:tc>
          <w:tcPr>
            <w:tcW w:type="dxa" w:w="2880"/>
          </w:tcPr>
          <w:p>
            <w:r>
              <w:t>Base simulation paths</w:t>
            </w:r>
          </w:p>
        </w:tc>
      </w:tr>
      <w:tr>
        <w:tc>
          <w:tcPr>
            <w:tcW w:type="dxa" w:w="2880"/>
          </w:tcPr>
          <w:p>
            <w:r>
              <w:t>Effective scenarios</w:t>
            </w:r>
          </w:p>
        </w:tc>
        <w:tc>
          <w:tcPr>
            <w:tcW w:type="dxa" w:w="2880"/>
          </w:tcPr>
          <w:p>
            <w:r>
              <w:t>**4,000**</w:t>
            </w:r>
          </w:p>
        </w:tc>
        <w:tc>
          <w:tcPr>
            <w:tcW w:type="dxa" w:w="2880"/>
          </w:tcPr>
          <w:p>
            <w:r>
              <w:t>Doubled by antithetic sampling</w:t>
            </w:r>
          </w:p>
        </w:tc>
      </w:tr>
      <w:tr>
        <w:tc>
          <w:tcPr>
            <w:tcW w:type="dxa" w:w="2880"/>
          </w:tcPr>
          <w:p>
            <w:r>
              <w:t>`time_steps`</w:t>
            </w:r>
          </w:p>
        </w:tc>
        <w:tc>
          <w:tcPr>
            <w:tcW w:type="dxa" w:w="2880"/>
          </w:tcPr>
          <w:p>
            <w:r>
              <w:t>52</w:t>
            </w:r>
          </w:p>
        </w:tc>
        <w:tc>
          <w:tcPr>
            <w:tcW w:type="dxa" w:w="2880"/>
          </w:tcPr>
          <w:p>
            <w:r>
              <w:t>Weekly steps over 1 year</w:t>
            </w:r>
          </w:p>
        </w:tc>
      </w:tr>
      <w:tr>
        <w:tc>
          <w:tcPr>
            <w:tcW w:type="dxa" w:w="2880"/>
          </w:tcPr>
          <w:p>
            <w:r>
              <w:t>`time_horizon_years`</w:t>
            </w:r>
          </w:p>
        </w:tc>
        <w:tc>
          <w:tcPr>
            <w:tcW w:type="dxa" w:w="2880"/>
          </w:tcPr>
          <w:p>
            <w:r>
              <w:t>1.0</w:t>
            </w:r>
          </w:p>
        </w:tc>
        <w:tc>
          <w:tcPr>
            <w:tcW w:type="dxa" w:w="2880"/>
          </w:tcPr>
          <w:p>
            <w:r>
              <w:t>1-year horizon</w:t>
            </w:r>
          </w:p>
        </w:tc>
      </w:tr>
      <w:tr>
        <w:tc>
          <w:tcPr>
            <w:tcW w:type="dxa" w:w="2880"/>
          </w:tcPr>
          <w:p>
            <w:r>
              <w:t>`dt`</w:t>
            </w:r>
          </w:p>
        </w:tc>
        <w:tc>
          <w:tcPr>
            <w:tcW w:type="dxa" w:w="2880"/>
          </w:tcPr>
          <w:p>
            <w:r>
              <w:t>1/52 ≈ 0.0192 yr</w:t>
            </w:r>
          </w:p>
        </w:tc>
        <w:tc>
          <w:tcPr>
            <w:tcW w:type="dxa" w:w="2880"/>
          </w:tcPr>
          <w:p>
            <w:r>
              <w:t>Time step size</w:t>
            </w:r>
          </w:p>
        </w:tc>
      </w:tr>
      <w:tr>
        <w:tc>
          <w:tcPr>
            <w:tcW w:type="dxa" w:w="2880"/>
          </w:tcPr>
          <w:p>
            <w:r>
              <w:t>Memory footprint</w:t>
            </w:r>
          </w:p>
        </w:tc>
        <w:tc>
          <w:tcPr>
            <w:tcW w:type="dxa" w:w="2880"/>
          </w:tcPr>
          <w:p>
            <w:r>
              <w:t>~40 MB</w:t>
            </w:r>
          </w:p>
        </w:tc>
        <w:tc>
          <w:tcPr>
            <w:tcW w:type="dxa" w:w="2880"/>
          </w:tcPr>
          <w:p>
            <w:r>
              <w:t>Safe for 8 GB RAM</w:t>
            </w:r>
          </w:p>
        </w:tc>
      </w:tr>
    </w:tbl>
    <w:p>
      <w:pPr>
        <w:pStyle w:val="Heading3"/>
        <w:jc w:val="left"/>
      </w:pPr>
      <w:r>
        <w:t>3.2 Antithetic Variance Reduction</w:t>
      </w:r>
    </w:p>
    <w:p>
      <w:r>
        <w:t xml:space="preserve">For each base set of random draws </w:t>
      </w:r>
      <w:r>
        <w:rPr>
          <w:b/>
        </w:rPr>
        <w:t>Z</w:t>
      </w:r>
      <w:r>
        <w:t xml:space="preserve">, a second set </w:t>
      </w:r>
      <w:r>
        <w:rPr>
          <w:b/>
        </w:rPr>
        <w:t>−Z</w:t>
      </w:r>
      <w:r>
        <w:t xml:space="preserve"> is generated. The two sets are stacked:</w:t>
      </w:r>
    </w:p>
    <w:p>
      <w:pPr>
        <w:shd w:fill="F5F5F5"/>
      </w:pPr>
      <w:r>
        <w:rPr>
          <w:rFonts w:ascii="Courier New" w:hAnsi="Courier New"/>
          <w:color w:val="404040"/>
          <w:sz w:val="16"/>
        </w:rPr>
        <w:t>Base paths:       S(t) = S₀ × exp((μ - σ²/2)dt + σ√dt × Z)</w:t>
      </w:r>
    </w:p>
    <w:p>
      <w:pPr>
        <w:shd w:fill="F5F5F5"/>
      </w:pPr>
      <w:r>
        <w:rPr>
          <w:rFonts w:ascii="Courier New" w:hAnsi="Courier New"/>
          <w:color w:val="404040"/>
          <w:sz w:val="16"/>
        </w:rPr>
        <w:t>Antithetic paths: S(t) = S₀ × exp((μ - σ²/2)dt − σ√dt × Z)</w:t>
      </w:r>
    </w:p>
    <w:p>
      <w:pPr>
        <w:shd w:fill="F5F5F5"/>
      </w:pPr>
      <w:r>
        <w:rPr>
          <w:rFonts w:ascii="Courier New" w:hAnsi="Courier New"/>
          <w:color w:val="404040"/>
          <w:sz w:val="16"/>
        </w:rPr>
        <w:t>Final path matrix: [Base paths; Antithetic paths]  → shape (4000, 52)</w:t>
      </w:r>
    </w:p>
    <w:p>
      <w:r>
        <w:rPr>
          <w:b/>
        </w:rPr>
        <w:t>Why it matters:</w:t>
      </w:r>
      <w:r>
        <w:t xml:space="preserve"> Antithetic sampling halves the variance of the EE estimator with no extra computational cost — the positive bias in one set is cancelled by the negative bias in the other. This is a regulatory best-practice technique (CRE53.21).</w:t>
      </w:r>
    </w:p>
    <w:p>
      <w:pPr>
        <w:pStyle w:val="Heading3"/>
        <w:jc w:val="left"/>
      </w:pPr>
      <w:r>
        <w:t>3.3 Path Caching</w:t>
      </w:r>
    </w:p>
    <w:p>
      <w:r>
        <w:t>Within a single netting-set run, paths for the same risk factor are generated once and reused across all trades sharing that asset class. This avoids redundant simulation and ensures internal consistency in the netting aggregation.</w:t>
      </w:r>
    </w:p>
    <w:p>
      <w:r>
        <w:t xml:space="preserve">&gt; </w:t>
      </w:r>
      <w:r>
        <w:rPr>
          <w:b/>
        </w:rPr>
        <w:t>Stressed runs do NOT use the base cache</w:t>
      </w:r>
      <w:r>
        <w:t xml:space="preserve"> — a separate fresh set of paths is generated with stressed volatility parameters. This ensures stress EAD genuinely reflects a different market environment.</w:t>
      </w:r>
    </w:p>
    <w:p>
      <w:pPr>
        <w:pStyle w:val="Heading2"/>
        <w:jc w:val="left"/>
      </w:pPr>
      <w:r>
        <w:t>4. All Exposure Metrics — Definitions &amp; Formulas</w:t>
      </w:r>
    </w:p>
    <w:p>
      <w:pPr>
        <w:pStyle w:val="Heading3"/>
        <w:jc w:val="left"/>
      </w:pPr>
      <w:r>
        <w:t>4.1 Mark-to-Market (MtM)</w:t>
      </w:r>
    </w:p>
    <w:p>
      <w:r>
        <w:t>The current fair value of a trade from the bank's perspective.</w:t>
      </w:r>
    </w:p>
    <w:p>
      <w:pPr>
        <w:shd w:fill="F5F5F5"/>
      </w:pPr>
      <w:r>
        <w:rPr>
          <w:rFonts w:ascii="Courier New" w:hAnsi="Courier New"/>
          <w:color w:val="404040"/>
          <w:sz w:val="16"/>
        </w:rPr>
        <w:t>MtM(t, scenario i) = Notional × Direction × (Price(t,i) / Price(0) − 1)</w:t>
      </w:r>
    </w:p>
    <w:p>
      <w:pPr>
        <w:pStyle w:val="ListBullet"/>
      </w:pPr>
      <w:r>
        <w:t>`Direction` = +1 for long/receive-fixed, −1 for short/pay-fixed</w:t>
      </w:r>
    </w:p>
    <w:p>
      <w:pPr>
        <w:pStyle w:val="ListBullet"/>
      </w:pPr>
      <w:r>
        <w:t>For interest rate trades: uses **bond pricing with convexity** (see §5.2)</w:t>
      </w:r>
    </w:p>
    <w:p>
      <w:pPr>
        <w:pStyle w:val="ListBullet"/>
      </w:pPr>
      <w:r>
        <w:t>For CDS (credit): `MtM = Notional × Duration × (spread(t) − spread(0))`</w:t>
      </w:r>
    </w:p>
    <w:p>
      <w:pPr>
        <w:pStyle w:val="Heading3"/>
        <w:jc w:val="left"/>
      </w:pPr>
      <w:r>
        <w:t>4.2 Exposure (E)</w:t>
      </w:r>
    </w:p>
    <w:p>
      <w:r>
        <w:t xml:space="preserve">The </w:t>
      </w:r>
      <w:r>
        <w:rPr>
          <w:b/>
        </w:rPr>
        <w:t>loss</w:t>
      </w:r>
      <w:r>
        <w:t xml:space="preserve"> the bank would suffer if the counterparty defaulted. Since the bank only loses when the position is in-the-money:</w:t>
      </w:r>
    </w:p>
    <w:p>
      <w:pPr>
        <w:shd w:fill="F5F5F5"/>
      </w:pPr>
      <w:r>
        <w:rPr>
          <w:rFonts w:ascii="Courier New" w:hAnsi="Courier New"/>
          <w:color w:val="404040"/>
          <w:sz w:val="16"/>
        </w:rPr>
        <w:t>Exposure(t, scenario i) = max(MtM(t, scenario i), 0)</w:t>
      </w:r>
    </w:p>
    <w:p>
      <w:r>
        <w:t>Floored at zero — the bank does not pay the counterparty if MtM is negative.</w:t>
      </w:r>
    </w:p>
    <w:p>
      <w:pPr>
        <w:pStyle w:val="Heading3"/>
        <w:jc w:val="left"/>
      </w:pPr>
      <w:r>
        <w:t>4.3 Netting Set Exposure</w:t>
      </w:r>
    </w:p>
    <w:p>
      <w:r>
        <w:t>Within a legally enforceable netting agreement, MtMs across all trades are summed before taking the floor:</w:t>
      </w:r>
    </w:p>
    <w:p>
      <w:pPr>
        <w:shd w:fill="F5F5F5"/>
      </w:pPr>
      <w:r>
        <w:rPr>
          <w:rFonts w:ascii="Courier New" w:hAnsi="Courier New"/>
          <w:color w:val="404040"/>
          <w:sz w:val="16"/>
        </w:rPr>
        <w:t>Net MtM(t, i)    = Σⱼ MtM(trade j, t, scenario i)</w:t>
      </w:r>
    </w:p>
    <w:p>
      <w:pPr>
        <w:shd w:fill="F5F5F5"/>
      </w:pPr>
      <w:r>
        <w:rPr>
          <w:rFonts w:ascii="Courier New" w:hAnsi="Courier New"/>
          <w:color w:val="404040"/>
          <w:sz w:val="16"/>
        </w:rPr>
        <w:t>Exposure(t, i)   = max(Net MtM(t, i), 0)</w:t>
      </w:r>
    </w:p>
    <w:p>
      <w:r>
        <w:t>This is the key capital benefit of bilateral netting: in-the-money and out-of-the-money trades offset each other.</w:t>
      </w:r>
    </w:p>
    <w:p>
      <w:pPr>
        <w:pStyle w:val="Heading3"/>
        <w:jc w:val="left"/>
      </w:pPr>
      <w:r>
        <w:t>4.4 Expected Exposure (EE)</w:t>
      </w:r>
    </w:p>
    <w:p>
      <w:r>
        <w:t xml:space="preserve">The </w:t>
      </w:r>
      <w:r>
        <w:rPr>
          <w:b/>
        </w:rPr>
        <w:t>average exposure across all scenarios</w:t>
      </w:r>
      <w:r>
        <w:t xml:space="preserve"> at time </w:t>
      </w:r>
      <w:r>
        <w:rPr>
          <w:i/>
        </w:rPr>
        <w:t>t</w:t>
      </w:r>
      <w:r>
        <w:t>:</w:t>
      </w:r>
    </w:p>
    <w:p>
      <w:pPr>
        <w:shd w:fill="F5F5F5"/>
      </w:pPr>
      <w:r>
        <w:rPr>
          <w:rFonts w:ascii="Courier New" w:hAnsi="Courier New"/>
          <w:color w:val="404040"/>
          <w:sz w:val="16"/>
        </w:rPr>
        <w:t>EE(t) = (1 / N_eff) × Σᵢ Exposure(t, scenario i)</w:t>
      </w:r>
    </w:p>
    <w:p>
      <w:pPr>
        <w:shd w:fill="F5F5F5"/>
      </w:pPr>
      <w:r>
        <w:rPr>
          <w:rFonts w:ascii="Courier New" w:hAnsi="Courier New"/>
          <w:color w:val="404040"/>
          <w:sz w:val="16"/>
        </w:rPr>
        <w:t xml:space="preserve">       = mean over scenarios of max(MtM, 0) at each time step</w:t>
      </w:r>
    </w:p>
    <w:p>
      <w:pPr>
        <w:pStyle w:val="ListBullet"/>
      </w:pPr>
      <w:r>
        <w:t>Shape: vector of length T (one value per time step)</w:t>
      </w:r>
    </w:p>
    <w:p>
      <w:pPr>
        <w:pStyle w:val="ListBullet"/>
      </w:pPr>
      <w:r>
        <w:t>Analogous to the expected loss given counterparty default at time *t*</w:t>
      </w:r>
    </w:p>
    <w:p>
      <w:pPr>
        <w:pStyle w:val="ListBullet"/>
      </w:pPr>
      <w:r>
        <w:t>Regulatory reference: **CRE53.13**</w:t>
      </w:r>
    </w:p>
    <w:p>
      <w:r>
        <w:rPr>
          <w:b/>
        </w:rPr>
        <w:t>Key property:</w:t>
      </w:r>
      <w:r>
        <w:t xml:space="preserve"> EE(t) can decrease over time as trades mature. This is why the regulatory framework uses EEE instead for capital purposes.</w:t>
      </w:r>
    </w:p>
    <w:p>
      <w:pPr>
        <w:pStyle w:val="Heading3"/>
        <w:jc w:val="left"/>
      </w:pPr>
      <w:r>
        <w:t>4.5 Effective Expected Exposure (EEE)</w:t>
      </w:r>
    </w:p>
    <w:p>
      <w:r>
        <w:t xml:space="preserve">A </w:t>
      </w:r>
      <w:r>
        <w:rPr>
          <w:b/>
        </w:rPr>
        <w:t>non-decreasing version</w:t>
      </w:r>
      <w:r>
        <w:t xml:space="preserve"> of the EE profile — it cannot fall below the previous time-step's value:</w:t>
      </w:r>
    </w:p>
    <w:p>
      <w:pPr>
        <w:shd w:fill="F5F5F5"/>
      </w:pPr>
      <w:r>
        <w:rPr>
          <w:rFonts w:ascii="Courier New" w:hAnsi="Courier New"/>
          <w:color w:val="404040"/>
          <w:sz w:val="16"/>
        </w:rPr>
        <w:t>EEE(t₀) = EE(t₀)</w:t>
      </w:r>
    </w:p>
    <w:p>
      <w:pPr>
        <w:shd w:fill="F5F5F5"/>
      </w:pPr>
      <w:r>
        <w:rPr>
          <w:rFonts w:ascii="Courier New" w:hAnsi="Courier New"/>
          <w:color w:val="404040"/>
          <w:sz w:val="16"/>
        </w:rPr>
        <w:t>EEE(tₙ) = max(EE(tₙ), EEE(tₙ₋₁))    for n = 1, 2, ..., T</w:t>
      </w:r>
    </w:p>
    <w:p>
      <w:r>
        <w:rPr>
          <w:b/>
        </w:rPr>
        <w:t>Why non-decreasing?</w:t>
      </w:r>
      <w:r>
        <w:t xml:space="preserve"> It captures the regulatory concern that banks may opportunistically close profitable trades before the computation date, leaving only unfavourable positions. The non-decreasing constraint is a conservatism that prevents this "cherry-picking" benefit.</w:t>
      </w:r>
    </w:p>
    <w:p>
      <w:r>
        <w:rPr>
          <w:b/>
        </w:rPr>
        <w:t>Implementation in code:</w:t>
      </w:r>
    </w:p>
    <w:p>
      <w:pPr>
        <w:shd w:fill="F5F5F5"/>
      </w:pPr>
      <w:r>
        <w:rPr>
          <w:rFonts w:ascii="Courier New" w:hAnsi="Courier New"/>
          <w:color w:val="404040"/>
          <w:sz w:val="16"/>
        </w:rPr>
        <w:t>def _effective_ee(self, ee: np.ndarray) -&gt; np.ndarray:</w:t>
      </w:r>
    </w:p>
    <w:p>
      <w:pPr>
        <w:shd w:fill="F5F5F5"/>
      </w:pPr>
      <w:r>
        <w:rPr>
          <w:rFonts w:ascii="Courier New" w:hAnsi="Courier New"/>
          <w:color w:val="404040"/>
          <w:sz w:val="16"/>
        </w:rPr>
        <w:t xml:space="preserve">    eee = np.zeros_like(ee)</w:t>
      </w:r>
    </w:p>
    <w:p>
      <w:pPr>
        <w:shd w:fill="F5F5F5"/>
      </w:pPr>
      <w:r>
        <w:rPr>
          <w:rFonts w:ascii="Courier New" w:hAnsi="Courier New"/>
          <w:color w:val="404040"/>
          <w:sz w:val="16"/>
        </w:rPr>
        <w:t xml:space="preserve">    eee[0] = ee[0]</w:t>
      </w:r>
    </w:p>
    <w:p>
      <w:pPr>
        <w:shd w:fill="F5F5F5"/>
      </w:pPr>
      <w:r>
        <w:rPr>
          <w:rFonts w:ascii="Courier New" w:hAnsi="Courier New"/>
          <w:color w:val="404040"/>
          <w:sz w:val="16"/>
        </w:rPr>
        <w:t xml:space="preserve">    for t in range(1, len(ee)):</w:t>
      </w:r>
    </w:p>
    <w:p>
      <w:pPr>
        <w:shd w:fill="F5F5F5"/>
      </w:pPr>
      <w:r>
        <w:rPr>
          <w:rFonts w:ascii="Courier New" w:hAnsi="Courier New"/>
          <w:color w:val="404040"/>
          <w:sz w:val="16"/>
        </w:rPr>
        <w:t xml:space="preserve">        eee[t] = max(ee[t], eee[t-1])</w:t>
      </w:r>
    </w:p>
    <w:p>
      <w:pPr>
        <w:shd w:fill="F5F5F5"/>
      </w:pPr>
      <w:r>
        <w:rPr>
          <w:rFonts w:ascii="Courier New" w:hAnsi="Courier New"/>
          <w:color w:val="404040"/>
          <w:sz w:val="16"/>
        </w:rPr>
        <w:t xml:space="preserve">    return eee</w:t>
      </w:r>
    </w:p>
    <w:p>
      <w:pPr>
        <w:pStyle w:val="Heading3"/>
        <w:jc w:val="left"/>
      </w:pPr>
      <w:r>
        <w:t>4.6 Expected Positive Exposure (EPE)</w:t>
      </w:r>
    </w:p>
    <w:p>
      <w:r>
        <w:t xml:space="preserve">The </w:t>
      </w:r>
      <w:r>
        <w:rPr>
          <w:b/>
        </w:rPr>
        <w:t>time-average of the EE profile</w:t>
      </w:r>
      <w:r>
        <w:t xml:space="preserve"> over the first year:</w:t>
      </w:r>
    </w:p>
    <w:p>
      <w:pPr>
        <w:shd w:fill="F5F5F5"/>
      </w:pPr>
      <w:r>
        <w:rPr>
          <w:rFonts w:ascii="Courier New" w:hAnsi="Courier New"/>
          <w:color w:val="404040"/>
          <w:sz w:val="16"/>
        </w:rPr>
        <w:t>EPE = (1/T) × Σₜ EE(t)   for t ∈ [0, 1yr]</w:t>
      </w:r>
    </w:p>
    <w:p>
      <w:pPr>
        <w:shd w:fill="F5F5F5"/>
      </w:pPr>
      <w:r>
        <w:rPr>
          <w:rFonts w:ascii="Courier New" w:hAnsi="Courier New"/>
          <w:color w:val="404040"/>
          <w:sz w:val="16"/>
        </w:rPr>
        <w:t xml:space="preserve">    = mean(EE vector)</w:t>
      </w:r>
    </w:p>
    <w:p>
      <w:pPr>
        <w:pStyle w:val="ListBullet"/>
      </w:pPr>
      <w:r>
        <w:t>A single scalar value</w:t>
      </w:r>
    </w:p>
    <w:p>
      <w:pPr>
        <w:pStyle w:val="ListBullet"/>
      </w:pPr>
      <w:r>
        <w:t>Commonly used for pricing (CVA) but **NOT** used for regulatory capital under IMM</w:t>
      </w:r>
    </w:p>
    <w:p>
      <w:pPr>
        <w:pStyle w:val="ListBullet"/>
      </w:pPr>
      <w:r>
        <w:t>The capital metric is EEPE (see below)</w:t>
      </w:r>
    </w:p>
    <w:p>
      <w:pPr>
        <w:pStyle w:val="ListBullet"/>
      </w:pPr>
      <w:r>
        <w:t>Regulatory reference: **CRE53.14**</w:t>
      </w:r>
    </w:p>
    <w:p>
      <w:pPr>
        <w:pStyle w:val="Heading3"/>
        <w:jc w:val="left"/>
      </w:pPr>
      <w:r>
        <w:t>4.7 Effective Expected Positive Exposure (EEPE)</w:t>
      </w:r>
    </w:p>
    <w:p>
      <w:r>
        <w:t xml:space="preserve">The </w:t>
      </w:r>
      <w:r>
        <w:rPr>
          <w:b/>
        </w:rPr>
        <w:t>time-average of the EEE profile</w:t>
      </w:r>
      <w:r>
        <w:t xml:space="preserve"> over the first year — this is the </w:t>
      </w:r>
      <w:r>
        <w:rPr>
          <w:b/>
        </w:rPr>
        <w:t>primary regulatory capital driver</w:t>
      </w:r>
      <w:r>
        <w:t xml:space="preserve"> under IMM:</w:t>
      </w:r>
    </w:p>
    <w:p>
      <w:pPr>
        <w:shd w:fill="F5F5F5"/>
      </w:pPr>
      <w:r>
        <w:rPr>
          <w:rFonts w:ascii="Courier New" w:hAnsi="Courier New"/>
          <w:color w:val="404040"/>
          <w:sz w:val="16"/>
        </w:rPr>
        <w:t>EEPE = (1/T) × Σₜ EEE(t)   for t ∈ [0, 1yr]</w:t>
      </w:r>
    </w:p>
    <w:p>
      <w:pPr>
        <w:shd w:fill="F5F5F5"/>
      </w:pPr>
      <w:r>
        <w:rPr>
          <w:rFonts w:ascii="Courier New" w:hAnsi="Courier New"/>
          <w:color w:val="404040"/>
          <w:sz w:val="16"/>
        </w:rPr>
        <w:t xml:space="preserve">      = mean(EEE vector)</w:t>
      </w:r>
    </w:p>
    <w:p>
      <w:pPr>
        <w:pStyle w:val="ListBullet"/>
      </w:pPr>
      <w:r>
        <w:t>Single scalar</w:t>
      </w:r>
    </w:p>
    <w:p>
      <w:pPr>
        <w:pStyle w:val="ListBullet"/>
      </w:pPr>
      <w:r>
        <w:t>EEPE ≥ EPE always (because EEE ≥ EE at every time step)</w:t>
      </w:r>
    </w:p>
    <w:p>
      <w:pPr>
        <w:pStyle w:val="ListBullet"/>
      </w:pPr>
      <w:r>
        <w:t>The time-averaging is only over the **first year** even for longer-dated trades</w:t>
      </w:r>
    </w:p>
    <w:p>
      <w:pPr>
        <w:pStyle w:val="ListBullet"/>
      </w:pPr>
      <w:r>
        <w:t>Regulatory reference: **CRE53.15**</w:t>
      </w:r>
    </w:p>
    <w:p>
      <w:r>
        <w:rPr>
          <w:b/>
        </w:rPr>
        <w:t>The difference between EPE and EEPE: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Based On</w:t>
            </w:r>
          </w:p>
        </w:tc>
        <w:tc>
          <w:tcPr>
            <w:tcW w:type="dxa" w:w="2160"/>
          </w:tcPr>
          <w:p>
            <w:r>
              <w:rPr>
                <w:b/>
                <w:sz w:val="20"/>
              </w:rPr>
              <w:t>Can Decrease?</w:t>
            </w:r>
          </w:p>
        </w:tc>
        <w:tc>
          <w:tcPr>
            <w:tcW w:type="dxa" w:w="2160"/>
          </w:tcPr>
          <w:p>
            <w:r>
              <w:rPr>
                <w:b/>
                <w:sz w:val="20"/>
              </w:rPr>
              <w:t>Used For</w:t>
            </w:r>
          </w:p>
        </w:tc>
      </w:tr>
      <w:tr>
        <w:tc>
          <w:tcPr>
            <w:tcW w:type="dxa" w:w="2160"/>
          </w:tcPr>
          <w:p>
            <w:r>
              <w:t>EPE</w:t>
            </w:r>
          </w:p>
        </w:tc>
        <w:tc>
          <w:tcPr>
            <w:tcW w:type="dxa" w:w="2160"/>
          </w:tcPr>
          <w:p>
            <w:r>
              <w:t>EE (raw average)</w:t>
            </w:r>
          </w:p>
        </w:tc>
        <w:tc>
          <w:tcPr>
            <w:tcW w:type="dxa" w:w="2160"/>
          </w:tcPr>
          <w:p>
            <w:r>
              <w:t>Yes</w:t>
            </w:r>
          </w:p>
        </w:tc>
        <w:tc>
          <w:tcPr>
            <w:tcW w:type="dxa" w:w="2160"/>
          </w:tcPr>
          <w:p>
            <w:r>
              <w:t>CVA pricing, internal benchmarking</w:t>
            </w:r>
          </w:p>
        </w:tc>
      </w:tr>
      <w:tr>
        <w:tc>
          <w:tcPr>
            <w:tcW w:type="dxa" w:w="2160"/>
          </w:tcPr>
          <w:p>
            <w:r>
              <w:t>**EEPE**</w:t>
            </w:r>
          </w:p>
        </w:tc>
        <w:tc>
          <w:tcPr>
            <w:tcW w:type="dxa" w:w="2160"/>
          </w:tcPr>
          <w:p>
            <w:r>
              <w:t>EEE (non-decreasing)</w:t>
            </w:r>
          </w:p>
        </w:tc>
        <w:tc>
          <w:tcPr>
            <w:tcW w:type="dxa" w:w="2160"/>
          </w:tcPr>
          <w:p>
            <w:r>
              <w:t>No</w:t>
            </w:r>
          </w:p>
        </w:tc>
        <w:tc>
          <w:tcPr>
            <w:tcW w:type="dxa" w:w="2160"/>
          </w:tcPr>
          <w:p>
            <w:r>
              <w:t>**Regulatory capital (EAD_IMM)**</w:t>
            </w:r>
          </w:p>
        </w:tc>
      </w:tr>
    </w:tbl>
    <w:p>
      <w:pPr>
        <w:pStyle w:val="Heading3"/>
        <w:jc w:val="left"/>
      </w:pPr>
      <w:r>
        <w:t>4.8 Exposure at Default (EAD) — IMM Method</w:t>
      </w:r>
    </w:p>
    <w:p>
      <w:r>
        <w:t>The regulatory capital exposure under IMM:</w:t>
      </w:r>
    </w:p>
    <w:p>
      <w:pPr>
        <w:shd w:fill="F5F5F5"/>
      </w:pPr>
      <w:r>
        <w:rPr>
          <w:rFonts w:ascii="Courier New" w:hAnsi="Courier New"/>
          <w:color w:val="404040"/>
          <w:sz w:val="16"/>
        </w:rPr>
        <w:t>EAD_IMM = α × EEPE</w:t>
      </w:r>
    </w:p>
    <w:p>
      <w:r>
        <w:t>Where:</w:t>
      </w:r>
    </w:p>
    <w:p>
      <w:pPr>
        <w:pStyle w:val="ListBullet"/>
      </w:pPr>
      <w:r>
        <w:t>**α = 1.4** — the regulatory supervisory alpha factor (CRE53.16)</w:t>
      </w:r>
    </w:p>
    <w:p>
      <w:pPr>
        <w:pStyle w:val="ListBullet"/>
      </w:pPr>
      <w:r>
        <w:t>This 40% loading reflects model uncertainty, wrong-way risk not captured in EEPE, and the possibility that actual loss-given-default exceeds the average exposure</w:t>
      </w:r>
    </w:p>
    <w:p>
      <w:r>
        <w:t>The alpha of 1.4 was set by the Basel Committee based on empirical studies of the ratio of actual CCR losses to model-predicted EEPE. Banks may apply to use a lower firm-specific alpha if approved by their supervisor (minimum floor: 1.2).</w:t>
      </w:r>
    </w:p>
    <w:p>
      <w:pPr>
        <w:pStyle w:val="Heading3"/>
        <w:jc w:val="left"/>
      </w:pPr>
      <w:r>
        <w:t>4.9 Potential Future Exposure (PFE)</w:t>
      </w:r>
    </w:p>
    <w:p>
      <w:r>
        <w:t xml:space="preserve">The </w:t>
      </w:r>
      <w:r>
        <w:rPr>
          <w:b/>
        </w:rPr>
        <w:t>95th percentile exposure</w:t>
      </w:r>
      <w:r>
        <w:t xml:space="preserve"> across scenarios at each time step:</w:t>
      </w:r>
    </w:p>
    <w:p>
      <w:pPr>
        <w:shd w:fill="F5F5F5"/>
      </w:pPr>
      <w:r>
        <w:rPr>
          <w:rFonts w:ascii="Courier New" w:hAnsi="Courier New"/>
          <w:color w:val="404040"/>
          <w:sz w:val="16"/>
        </w:rPr>
        <w:t>PFE(t) = Percentile₉₅{ Exposure(t, scenario i) : i = 1..N_eff }</w:t>
      </w:r>
    </w:p>
    <w:p>
      <w:pPr>
        <w:pStyle w:val="ListBullet"/>
      </w:pPr>
      <w:r>
        <w:t>Represents a worst-case exposure at a given confidence level</w:t>
      </w:r>
    </w:p>
    <w:p>
      <w:pPr>
        <w:pStyle w:val="ListBullet"/>
      </w:pPr>
      <w:r>
        <w:t>Used for credit limit monitoring, not regulatory capital</w:t>
      </w:r>
    </w:p>
    <w:p>
      <w:pPr>
        <w:pStyle w:val="ListBullet"/>
      </w:pPr>
      <w:r>
        <w:t>Analogous to VaR but for counterparty exposure rather than P&amp;L</w:t>
      </w:r>
    </w:p>
    <w:p>
      <w:pPr>
        <w:pStyle w:val="Heading3"/>
        <w:jc w:val="left"/>
      </w:pPr>
      <w:r>
        <w:t>4.10 Relationship Summary</w:t>
      </w:r>
    </w:p>
    <w:p>
      <w:pPr>
        <w:shd w:fill="F5F5F5"/>
      </w:pPr>
      <w:r>
        <w:rPr>
          <w:rFonts w:ascii="Courier New" w:hAnsi="Courier New"/>
          <w:color w:val="404040"/>
          <w:sz w:val="16"/>
        </w:rPr>
        <w:t>Scenario paths (N_eff × T)</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 mean(axis=0) ──► EE(t)  ──► mean ──► EPE   (pricing)</w:t>
      </w:r>
    </w:p>
    <w:p>
      <w:pPr>
        <w:shd w:fill="F5F5F5"/>
      </w:pPr>
      <w:r>
        <w:rPr>
          <w:rFonts w:ascii="Courier New" w:hAnsi="Courier New"/>
          <w:color w:val="404040"/>
          <w:sz w:val="16"/>
        </w:rPr>
        <w:t xml:space="preserve">         │                          │</w:t>
      </w:r>
    </w:p>
    <w:p>
      <w:pPr>
        <w:shd w:fill="F5F5F5"/>
      </w:pPr>
      <w:r>
        <w:rPr>
          <w:rFonts w:ascii="Courier New" w:hAnsi="Courier New"/>
          <w:color w:val="404040"/>
          <w:sz w:val="16"/>
        </w:rPr>
        <w:t xml:space="preserve">         │                    enforce non-decreasing</w:t>
      </w:r>
    </w:p>
    <w:p>
      <w:pPr>
        <w:shd w:fill="F5F5F5"/>
      </w:pPr>
      <w:r>
        <w:rPr>
          <w:rFonts w:ascii="Courier New" w:hAnsi="Courier New"/>
          <w:color w:val="404040"/>
          <w:sz w:val="16"/>
        </w:rPr>
        <w:t xml:space="preserve">         │                          │</w:t>
      </w:r>
    </w:p>
    <w:p>
      <w:pPr>
        <w:shd w:fill="F5F5F5"/>
      </w:pPr>
      <w:r>
        <w:rPr>
          <w:rFonts w:ascii="Courier New" w:hAnsi="Courier New"/>
          <w:color w:val="404040"/>
          <w:sz w:val="16"/>
        </w:rPr>
        <w:t xml:space="preserve">         │                     EEE(t) ──► mean ──► EEPE  ──► ×α ──► EAD_IMM</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 percentile(95, axis=0) ──► PFE(t)           (limit management)</w:t>
      </w:r>
    </w:p>
    <w:p>
      <w:pPr>
        <w:pStyle w:val="Heading2"/>
        <w:jc w:val="left"/>
      </w:pPr>
      <w:r>
        <w:t>5. Stochastic Process Models</w:t>
      </w:r>
    </w:p>
    <w:p>
      <w:pPr>
        <w:pStyle w:val="Heading3"/>
        <w:jc w:val="left"/>
      </w:pPr>
      <w:r>
        <w:t>5.1 Geometric Brownian Motion (GBM) — EQ, FX, CMDTY</w:t>
      </w:r>
    </w:p>
    <w:p>
      <w:r>
        <w:t>Used for equities, foreign exchange, and commodity risk factors.</w:t>
      </w:r>
    </w:p>
    <w:p>
      <w:r>
        <w:rPr>
          <w:b/>
        </w:rPr>
        <w:t>Continuous-time SDE:</w:t>
      </w:r>
    </w:p>
    <w:p>
      <w:pPr>
        <w:shd w:fill="F5F5F5"/>
      </w:pPr>
      <w:r>
        <w:rPr>
          <w:rFonts w:ascii="Courier New" w:hAnsi="Courier New"/>
          <w:color w:val="404040"/>
          <w:sz w:val="16"/>
        </w:rPr>
        <w:t>dS/S = μ dt + σ dW</w:t>
      </w:r>
    </w:p>
    <w:p>
      <w:r>
        <w:rPr>
          <w:b/>
        </w:rPr>
        <w:t>Discretised (exact log-normal scheme):</w:t>
      </w:r>
    </w:p>
    <w:p>
      <w:pPr>
        <w:shd w:fill="F5F5F5"/>
      </w:pPr>
      <w:r>
        <w:rPr>
          <w:rFonts w:ascii="Courier New" w:hAnsi="Courier New"/>
          <w:color w:val="404040"/>
          <w:sz w:val="16"/>
        </w:rPr>
        <w:t>S(t + dt) = S(t) × exp[(μ − σ²/2) dt + σ√dt × Z]</w:t>
      </w:r>
    </w:p>
    <w:p>
      <w:r>
        <w:t>Where:</w:t>
      </w:r>
    </w:p>
    <w:p>
      <w:pPr>
        <w:pStyle w:val="ListBullet"/>
      </w:pPr>
      <w:r>
        <w:t>`μ` = drift (annual) = 0.05 (5% risk-neutral drift)</w:t>
      </w:r>
    </w:p>
    <w:p>
      <w:pPr>
        <w:pStyle w:val="ListBullet"/>
      </w:pPr>
      <w:r>
        <w:t>`σ` = volatility (annual) = 0.20 base; 0.40 stressed</w:t>
      </w:r>
    </w:p>
    <w:p>
      <w:pPr>
        <w:pStyle w:val="ListBullet"/>
      </w:pPr>
      <w:r>
        <w:t>`Z ~ N(0,1)` = standard normal random draw</w:t>
      </w:r>
    </w:p>
    <w:p>
      <w:pPr>
        <w:pStyle w:val="ListBullet"/>
      </w:pPr>
      <w:r>
        <w:t>`S₀ = 1.0` (normalised; MtM is relative return × notional)</w:t>
      </w:r>
    </w:p>
    <w:p>
      <w:r>
        <w:rPr>
          <w:b/>
        </w:rPr>
        <w:t>The `σ²/2` Itô correction</w:t>
      </w:r>
      <w:r>
        <w:t xml:space="preserve"> prevents upward bias in the expected value that would arise from a naïve Euler scheme. It ensures `E[S(T)] = S₀ × exp(μT)`.</w:t>
      </w:r>
    </w:p>
    <w:p>
      <w:r>
        <w:rPr>
          <w:b/>
        </w:rPr>
        <w:t>Antithetic version:</w:t>
      </w:r>
    </w:p>
    <w:p>
      <w:pPr>
        <w:shd w:fill="F5F5F5"/>
      </w:pPr>
      <w:r>
        <w:rPr>
          <w:rFonts w:ascii="Courier New" w:hAnsi="Courier New"/>
          <w:color w:val="404040"/>
          <w:sz w:val="16"/>
        </w:rPr>
        <w:t>S_anti(t + dt) = S(t) × exp[(μ − σ²/2) dt − σ√dt × Z]</w:t>
      </w:r>
    </w:p>
    <w:p>
      <w:r>
        <w:t>Uses `−Z` instead of `+Z` — the negative of the same random draw.</w:t>
      </w:r>
    </w:p>
    <w:p>
      <w:pPr>
        <w:pStyle w:val="Heading3"/>
        <w:jc w:val="left"/>
      </w:pPr>
      <w:r>
        <w:t>5.2 Hull-White 1-Factor Model (IR)</w:t>
      </w:r>
    </w:p>
    <w:p>
      <w:r>
        <w:t xml:space="preserve">Used for interest rate risk factors. The short rate </w:t>
      </w:r>
      <w:r>
        <w:rPr>
          <w:i/>
        </w:rPr>
        <w:t>r</w:t>
      </w:r>
      <w:r>
        <w:t xml:space="preserve"> follows an Ornstein-Uhlenbeck process with mean reversion.</w:t>
      </w:r>
    </w:p>
    <w:p>
      <w:r>
        <w:rPr>
          <w:b/>
        </w:rPr>
        <w:t>Continuous-time SDE:</w:t>
      </w:r>
    </w:p>
    <w:p>
      <w:pPr>
        <w:shd w:fill="F5F5F5"/>
      </w:pPr>
      <w:r>
        <w:rPr>
          <w:rFonts w:ascii="Courier New" w:hAnsi="Courier New"/>
          <w:color w:val="404040"/>
          <w:sz w:val="16"/>
        </w:rPr>
        <w:t>dr = κ(θ − r) dt + σᵣ dW</w:t>
      </w:r>
    </w:p>
    <w:p>
      <w:r>
        <w:rPr>
          <w:b/>
        </w:rPr>
        <w:t>Discretised (explicit Euler scheme):</w:t>
      </w:r>
    </w:p>
    <w:p>
      <w:pPr>
        <w:shd w:fill="F5F5F5"/>
      </w:pPr>
      <w:r>
        <w:rPr>
          <w:rFonts w:ascii="Courier New" w:hAnsi="Courier New"/>
          <w:color w:val="404040"/>
          <w:sz w:val="16"/>
        </w:rPr>
        <w:t>r(t + dt) = r(t) + κ(θ − r(t)) dt + σᵣ√dt × Z</w:t>
      </w:r>
    </w:p>
    <w:p>
      <w:r>
        <w:t>Where:</w:t>
      </w:r>
    </w:p>
    <w:p>
      <w:pPr>
        <w:pStyle w:val="ListBullet"/>
      </w:pPr>
      <w:r>
        <w:t>`κ` = mean reversion speed = 0.10 (pulls rate back to θ at rate 10% per year)</w:t>
      </w:r>
    </w:p>
    <w:p>
      <w:pPr>
        <w:pStyle w:val="ListBullet"/>
      </w:pPr>
      <w:r>
        <w:t>`θ` = long-run mean rate = 0.045 (4.5%, calibrated from OIS forward curve)</w:t>
      </w:r>
    </w:p>
    <w:p>
      <w:pPr>
        <w:pStyle w:val="ListBullet"/>
      </w:pPr>
      <w:r>
        <w:t>`σᵣ` = IR volatility = 0.015 base; 0.030 stressed</w:t>
      </w:r>
    </w:p>
    <w:p>
      <w:pPr>
        <w:pStyle w:val="ListBullet"/>
      </w:pPr>
      <w:r>
        <w:t>`r₀` = initial short rate = 0.05 (5%)</w:t>
      </w:r>
    </w:p>
    <w:p>
      <w:r>
        <w:rPr>
          <w:b/>
        </w:rPr>
        <w:t>Bond Pricing with Convexity Correction:</w:t>
      </w:r>
    </w:p>
    <w:p>
      <w:r>
        <w:t>IR trade MtM is computed as the change in bond price rather than the change in rate directly:</w:t>
      </w:r>
    </w:p>
    <w:p>
      <w:pPr>
        <w:shd w:fill="F5F5F5"/>
      </w:pPr>
      <w:r>
        <w:rPr>
          <w:rFonts w:ascii="Courier New" w:hAnsi="Courier New"/>
          <w:color w:val="404040"/>
          <w:sz w:val="16"/>
        </w:rPr>
        <w:t>P(r) ≈ 1 − duration × Δr + 0.5 × convexity × (Δr)²</w:t>
      </w:r>
    </w:p>
    <w:p>
      <w:r>
        <w:t>Where:</w:t>
      </w:r>
    </w:p>
    <w:p>
      <w:pPr>
        <w:pStyle w:val="ListBullet"/>
      </w:pPr>
      <w:r>
        <w:t>`Δr = r(t) − r₀` = rate change from initial level</w:t>
      </w:r>
    </w:p>
    <w:p>
      <w:pPr>
        <w:pStyle w:val="ListBullet"/>
      </w:pPr>
      <w:r>
        <w:t>`duration` = trade's remaining maturity in years (computed at runtime)</w:t>
      </w:r>
    </w:p>
    <w:p>
      <w:pPr>
        <w:pStyle w:val="ListBullet"/>
      </w:pPr>
      <w:r>
        <w:t>`convexity` = 0.05 × duration² / 100 (approximation)</w:t>
      </w:r>
    </w:p>
    <w:p>
      <w:r>
        <w:t xml:space="preserve">The convexity term accounts for the </w:t>
      </w:r>
      <w:r>
        <w:rPr>
          <w:b/>
        </w:rPr>
        <w:t>positive convexity</w:t>
      </w:r>
      <w:r>
        <w:t xml:space="preserve"> of bond prices: duration understates the price gain when rates fall and overstates the price loss when rates rise.</w:t>
      </w:r>
    </w:p>
    <w:p>
      <w:r>
        <w:rPr>
          <w:b/>
        </w:rPr>
        <w:t>Bond MtM:</w:t>
      </w:r>
    </w:p>
    <w:p>
      <w:pPr>
        <w:shd w:fill="F5F5F5"/>
      </w:pPr>
      <w:r>
        <w:rPr>
          <w:rFonts w:ascii="Courier New" w:hAnsi="Courier New"/>
          <w:color w:val="404040"/>
          <w:sz w:val="16"/>
        </w:rPr>
        <w:t>MtM_IR(t, i) = Notional × direction × [P(r(t,i)) − 1]</w:t>
      </w:r>
    </w:p>
    <w:p>
      <w:pPr>
        <w:pStyle w:val="Heading3"/>
        <w:jc w:val="left"/>
      </w:pPr>
      <w:r>
        <w:t>5.3 Credit Default Swap (CDS) Exposure</w:t>
      </w:r>
    </w:p>
    <w:p>
      <w:pPr>
        <w:shd w:fill="F5F5F5"/>
      </w:pPr>
      <w:r>
        <w:rPr>
          <w:rFonts w:ascii="Courier New" w:hAnsi="Courier New"/>
          <w:color w:val="404040"/>
          <w:sz w:val="16"/>
        </w:rPr>
        <w:t>MtM_CR(t, i) = Notional × direction × duration × (spread(t,i) − spread₀)</w:t>
      </w:r>
    </w:p>
    <w:p>
      <w:r>
        <w:t>Where spread paths are simulated as GBM with:</w:t>
      </w:r>
    </w:p>
    <w:p>
      <w:pPr>
        <w:pStyle w:val="ListBullet"/>
      </w:pPr>
      <w:r>
        <w:t>`S₀ = 0.01` (100bp initial spread)</w:t>
      </w:r>
    </w:p>
    <w:p>
      <w:pPr>
        <w:pStyle w:val="ListBullet"/>
      </w:pPr>
      <w:r>
        <w:t>`vol = 0.50` (50% spread volatility — high to reflect jump risk)</w:t>
      </w:r>
    </w:p>
    <w:p>
      <w:pPr>
        <w:pStyle w:val="Heading3"/>
        <w:jc w:val="left"/>
      </w:pPr>
      <w:r>
        <w:t>5.4 Model Summary by Asset Class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Asset Class</w:t>
            </w:r>
          </w:p>
        </w:tc>
        <w:tc>
          <w:tcPr>
            <w:tcW w:type="dxa" w:w="2160"/>
          </w:tcPr>
          <w:p>
            <w:r>
              <w:rPr>
                <w:b/>
                <w:sz w:val="20"/>
              </w:rPr>
              <w:t>Code</w:t>
            </w:r>
          </w:p>
        </w:tc>
        <w:tc>
          <w:tcPr>
            <w:tcW w:type="dxa" w:w="2160"/>
          </w:tcPr>
          <w:p>
            <w:r>
              <w:rPr>
                <w:b/>
                <w:sz w:val="20"/>
              </w:rPr>
              <w:t>Model</w:t>
            </w:r>
          </w:p>
        </w:tc>
        <w:tc>
          <w:tcPr>
            <w:tcW w:type="dxa" w:w="2160"/>
          </w:tcPr>
          <w:p>
            <w:r>
              <w:rPr>
                <w:b/>
                <w:sz w:val="20"/>
              </w:rPr>
              <w:t>Key Parameters</w:t>
            </w:r>
          </w:p>
        </w:tc>
      </w:tr>
      <w:tr>
        <w:tc>
          <w:tcPr>
            <w:tcW w:type="dxa" w:w="2160"/>
          </w:tcPr>
          <w:p>
            <w:r>
              <w:t>Equity</w:t>
            </w:r>
          </w:p>
        </w:tc>
        <w:tc>
          <w:tcPr>
            <w:tcW w:type="dxa" w:w="2160"/>
          </w:tcPr>
          <w:p>
            <w:r>
              <w:t>`EQ`</w:t>
            </w:r>
          </w:p>
        </w:tc>
        <w:tc>
          <w:tcPr>
            <w:tcW w:type="dxa" w:w="2160"/>
          </w:tcPr>
          <w:p>
            <w:r>
              <w:t>GBM</w:t>
            </w:r>
          </w:p>
        </w:tc>
        <w:tc>
          <w:tcPr>
            <w:tcW w:type="dxa" w:w="2160"/>
          </w:tcPr>
          <w:p>
            <w:r>
              <w:t>μ=5%, σ=20% (base), 40% (stressed)</w:t>
            </w:r>
          </w:p>
        </w:tc>
      </w:tr>
      <w:tr>
        <w:tc>
          <w:tcPr>
            <w:tcW w:type="dxa" w:w="2160"/>
          </w:tcPr>
          <w:p>
            <w:r>
              <w:t>Foreign Exchange</w:t>
            </w:r>
          </w:p>
        </w:tc>
        <w:tc>
          <w:tcPr>
            <w:tcW w:type="dxa" w:w="2160"/>
          </w:tcPr>
          <w:p>
            <w:r>
              <w:t>`FX`</w:t>
            </w:r>
          </w:p>
        </w:tc>
        <w:tc>
          <w:tcPr>
            <w:tcW w:type="dxa" w:w="2160"/>
          </w:tcPr>
          <w:p>
            <w:r>
              <w:t>GBM</w:t>
            </w:r>
          </w:p>
        </w:tc>
        <w:tc>
          <w:tcPr>
            <w:tcW w:type="dxa" w:w="2160"/>
          </w:tcPr>
          <w:p>
            <w:r>
              <w:t>μ=5%, σ=20% (base), 40% (stressed)</w:t>
            </w:r>
          </w:p>
        </w:tc>
      </w:tr>
      <w:tr>
        <w:tc>
          <w:tcPr>
            <w:tcW w:type="dxa" w:w="2160"/>
          </w:tcPr>
          <w:p>
            <w:r>
              <w:t>Interest Rate</w:t>
            </w:r>
          </w:p>
        </w:tc>
        <w:tc>
          <w:tcPr>
            <w:tcW w:type="dxa" w:w="2160"/>
          </w:tcPr>
          <w:p>
            <w:r>
              <w:t>`IR`</w:t>
            </w:r>
          </w:p>
        </w:tc>
        <w:tc>
          <w:tcPr>
            <w:tcW w:type="dxa" w:w="2160"/>
          </w:tcPr>
          <w:p>
            <w:r>
              <w:t>Hull-White 1F</w:t>
            </w:r>
          </w:p>
        </w:tc>
        <w:tc>
          <w:tcPr>
            <w:tcW w:type="dxa" w:w="2160"/>
          </w:tcPr>
          <w:p>
            <w:r>
              <w:t>κ=10%, θ=4.5%, σᵣ=1.5% (base), 3.0% (stressed)</w:t>
            </w:r>
          </w:p>
        </w:tc>
      </w:tr>
      <w:tr>
        <w:tc>
          <w:tcPr>
            <w:tcW w:type="dxa" w:w="2160"/>
          </w:tcPr>
          <w:p>
            <w:r>
              <w:t>Credit (CDS)</w:t>
            </w:r>
          </w:p>
        </w:tc>
        <w:tc>
          <w:tcPr>
            <w:tcW w:type="dxa" w:w="2160"/>
          </w:tcPr>
          <w:p>
            <w:r>
              <w:t>`CR`</w:t>
            </w:r>
          </w:p>
        </w:tc>
        <w:tc>
          <w:tcPr>
            <w:tcW w:type="dxa" w:w="2160"/>
          </w:tcPr>
          <w:p>
            <w:r>
              <w:t>GBM (spread)</w:t>
            </w:r>
          </w:p>
        </w:tc>
        <w:tc>
          <w:tcPr>
            <w:tcW w:type="dxa" w:w="2160"/>
          </w:tcPr>
          <w:p>
            <w:r>
              <w:t>S₀=100bp, vol=50%</w:t>
            </w:r>
          </w:p>
        </w:tc>
      </w:tr>
      <w:tr>
        <w:tc>
          <w:tcPr>
            <w:tcW w:type="dxa" w:w="2160"/>
          </w:tcPr>
          <w:p>
            <w:r>
              <w:t>Commodity</w:t>
            </w:r>
          </w:p>
        </w:tc>
        <w:tc>
          <w:tcPr>
            <w:tcW w:type="dxa" w:w="2160"/>
          </w:tcPr>
          <w:p>
            <w:r>
              <w:t>`CMDTY`</w:t>
            </w:r>
          </w:p>
        </w:tc>
        <w:tc>
          <w:tcPr>
            <w:tcW w:type="dxa" w:w="2160"/>
          </w:tcPr>
          <w:p>
            <w:r>
              <w:t>GBM</w:t>
            </w:r>
          </w:p>
        </w:tc>
        <w:tc>
          <w:tcPr>
            <w:tcW w:type="dxa" w:w="2160"/>
          </w:tcPr>
          <w:p>
            <w:r>
              <w:t>μ=5%, σ=30% (base)</w:t>
            </w:r>
          </w:p>
        </w:tc>
      </w:tr>
    </w:tbl>
    <w:p>
      <w:pPr>
        <w:pStyle w:val="Heading2"/>
        <w:jc w:val="left"/>
      </w:pPr>
      <w:r>
        <w:t>6. Correlation &amp; Factor Model</w:t>
      </w:r>
    </w:p>
    <w:p>
      <w:pPr>
        <w:pStyle w:val="Heading3"/>
        <w:jc w:val="left"/>
      </w:pPr>
      <w:r>
        <w:t>6.1 Factor Structure</w:t>
      </w:r>
    </w:p>
    <w:p>
      <w:r>
        <w:t>Six risk factors are modelled with a full correlation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Index</w:t>
            </w:r>
          </w:p>
        </w:tc>
        <w:tc>
          <w:tcPr>
            <w:tcW w:type="dxa" w:w="2880"/>
          </w:tcPr>
          <w:p>
            <w:r>
              <w:rPr>
                <w:b/>
                <w:sz w:val="20"/>
              </w:rPr>
              <w:t>Factor</w:t>
            </w:r>
          </w:p>
        </w:tc>
        <w:tc>
          <w:tcPr>
            <w:tcW w:type="dxa" w:w="2880"/>
          </w:tcPr>
          <w:p>
            <w:r>
              <w:rPr>
                <w:b/>
                <w:sz w:val="20"/>
              </w:rPr>
              <w:t>Description</w:t>
            </w:r>
          </w:p>
        </w:tc>
      </w:tr>
      <w:tr>
        <w:tc>
          <w:tcPr>
            <w:tcW w:type="dxa" w:w="2880"/>
          </w:tcPr>
          <w:p>
            <w:r>
              <w:t>0</w:t>
            </w:r>
          </w:p>
        </w:tc>
        <w:tc>
          <w:tcPr>
            <w:tcW w:type="dxa" w:w="2880"/>
          </w:tcPr>
          <w:p>
            <w:r>
              <w:t>EQ</w:t>
            </w:r>
          </w:p>
        </w:tc>
        <w:tc>
          <w:tcPr>
            <w:tcW w:type="dxa" w:w="2880"/>
          </w:tcPr>
          <w:p>
            <w:r>
              <w:t>Equity risk</w:t>
            </w:r>
          </w:p>
        </w:tc>
      </w:tr>
      <w:tr>
        <w:tc>
          <w:tcPr>
            <w:tcW w:type="dxa" w:w="2880"/>
          </w:tcPr>
          <w:p>
            <w:r>
              <w:t>1</w:t>
            </w:r>
          </w:p>
        </w:tc>
        <w:tc>
          <w:tcPr>
            <w:tcW w:type="dxa" w:w="2880"/>
          </w:tcPr>
          <w:p>
            <w:r>
              <w:t>FX</w:t>
            </w:r>
          </w:p>
        </w:tc>
        <w:tc>
          <w:tcPr>
            <w:tcW w:type="dxa" w:w="2880"/>
          </w:tcPr>
          <w:p>
            <w:r>
              <w:t>Foreign exchange risk</w:t>
            </w:r>
          </w:p>
        </w:tc>
      </w:tr>
      <w:tr>
        <w:tc>
          <w:tcPr>
            <w:tcW w:type="dxa" w:w="2880"/>
          </w:tcPr>
          <w:p>
            <w:r>
              <w:t>2</w:t>
            </w:r>
          </w:p>
        </w:tc>
        <w:tc>
          <w:tcPr>
            <w:tcW w:type="dxa" w:w="2880"/>
          </w:tcPr>
          <w:p>
            <w:r>
              <w:t>IR</w:t>
            </w:r>
          </w:p>
        </w:tc>
        <w:tc>
          <w:tcPr>
            <w:tcW w:type="dxa" w:w="2880"/>
          </w:tcPr>
          <w:p>
            <w:r>
              <w:t>Interest rate risk</w:t>
            </w:r>
          </w:p>
        </w:tc>
      </w:tr>
      <w:tr>
        <w:tc>
          <w:tcPr>
            <w:tcW w:type="dxa" w:w="2880"/>
          </w:tcPr>
          <w:p>
            <w:r>
              <w:t>3</w:t>
            </w:r>
          </w:p>
        </w:tc>
        <w:tc>
          <w:tcPr>
            <w:tcW w:type="dxa" w:w="2880"/>
          </w:tcPr>
          <w:p>
            <w:r>
              <w:t>CR</w:t>
            </w:r>
          </w:p>
        </w:tc>
        <w:tc>
          <w:tcPr>
            <w:tcW w:type="dxa" w:w="2880"/>
          </w:tcPr>
          <w:p>
            <w:r>
              <w:t>Credit spread risk</w:t>
            </w:r>
          </w:p>
        </w:tc>
      </w:tr>
      <w:tr>
        <w:tc>
          <w:tcPr>
            <w:tcW w:type="dxa" w:w="2880"/>
          </w:tcPr>
          <w:p>
            <w:r>
              <w:t>4</w:t>
            </w:r>
          </w:p>
        </w:tc>
        <w:tc>
          <w:tcPr>
            <w:tcW w:type="dxa" w:w="2880"/>
          </w:tcPr>
          <w:p>
            <w:r>
              <w:t>CMDTY</w:t>
            </w:r>
          </w:p>
        </w:tc>
        <w:tc>
          <w:tcPr>
            <w:tcW w:type="dxa" w:w="2880"/>
          </w:tcPr>
          <w:p>
            <w:r>
              <w:t>Commodity risk</w:t>
            </w:r>
          </w:p>
        </w:tc>
      </w:tr>
      <w:tr>
        <w:tc>
          <w:tcPr>
            <w:tcW w:type="dxa" w:w="2880"/>
          </w:tcPr>
          <w:p>
            <w:r>
              <w:t>5</w:t>
            </w:r>
          </w:p>
        </w:tc>
        <w:tc>
          <w:tcPr>
            <w:tcW w:type="dxa" w:w="2880"/>
          </w:tcPr>
          <w:p>
            <w:r>
              <w:t>Market</w:t>
            </w:r>
          </w:p>
        </w:tc>
        <w:tc>
          <w:tcPr>
            <w:tcW w:type="dxa" w:w="2880"/>
          </w:tcPr>
          <w:p>
            <w:r>
              <w:t>Systemic / common market factor</w:t>
            </w:r>
          </w:p>
        </w:tc>
      </w:tr>
    </w:tbl>
    <w:p>
      <w:pPr>
        <w:pStyle w:val="Heading3"/>
        <w:jc w:val="left"/>
      </w:pPr>
      <w:r>
        <w:t>6.2 Correlation Matrix</w:t>
      </w:r>
    </w:p>
    <w:p>
      <w:pPr>
        <w:shd w:fill="F5F5F5"/>
      </w:pPr>
      <w:r>
        <w:rPr>
          <w:rFonts w:ascii="Courier New" w:hAnsi="Courier New"/>
          <w:color w:val="404040"/>
          <w:sz w:val="16"/>
        </w:rPr>
        <w:t xml:space="preserve">         EQ    FX    IR    CR    CMDTY  MKT</w:t>
      </w:r>
    </w:p>
    <w:p>
      <w:pPr>
        <w:shd w:fill="F5F5F5"/>
      </w:pPr>
      <w:r>
        <w:rPr>
          <w:rFonts w:ascii="Courier New" w:hAnsi="Courier New"/>
          <w:color w:val="404040"/>
          <w:sz w:val="16"/>
        </w:rPr>
        <w:t>EQ    [1.00, 0.60, 0.20, 0.50, 0.40, 0.70]</w:t>
      </w:r>
    </w:p>
    <w:p>
      <w:pPr>
        <w:shd w:fill="F5F5F5"/>
      </w:pPr>
      <w:r>
        <w:rPr>
          <w:rFonts w:ascii="Courier New" w:hAnsi="Courier New"/>
          <w:color w:val="404040"/>
          <w:sz w:val="16"/>
        </w:rPr>
        <w:t>FX    [0.60, 1.00, 0.15, 0.30, 0.35, 0.65]</w:t>
      </w:r>
    </w:p>
    <w:p>
      <w:pPr>
        <w:shd w:fill="F5F5F5"/>
      </w:pPr>
      <w:r>
        <w:rPr>
          <w:rFonts w:ascii="Courier New" w:hAnsi="Courier New"/>
          <w:color w:val="404040"/>
          <w:sz w:val="16"/>
        </w:rPr>
        <w:t>IR    [0.20, 0.15, 1.00, 0.10, 0.05, 0.25]</w:t>
      </w:r>
    </w:p>
    <w:p>
      <w:pPr>
        <w:shd w:fill="F5F5F5"/>
      </w:pPr>
      <w:r>
        <w:rPr>
          <w:rFonts w:ascii="Courier New" w:hAnsi="Courier New"/>
          <w:color w:val="404040"/>
          <w:sz w:val="16"/>
        </w:rPr>
        <w:t>CR    [0.50, 0.30, 0.10, 1.00, 0.20, 0.60]</w:t>
      </w:r>
    </w:p>
    <w:p>
      <w:pPr>
        <w:shd w:fill="F5F5F5"/>
      </w:pPr>
      <w:r>
        <w:rPr>
          <w:rFonts w:ascii="Courier New" w:hAnsi="Courier New"/>
          <w:color w:val="404040"/>
          <w:sz w:val="16"/>
        </w:rPr>
        <w:t>CMDTY [0.40, 0.35, 0.05, 0.20, 1.00, 0.55]</w:t>
      </w:r>
    </w:p>
    <w:p>
      <w:pPr>
        <w:shd w:fill="F5F5F5"/>
      </w:pPr>
      <w:r>
        <w:rPr>
          <w:rFonts w:ascii="Courier New" w:hAnsi="Courier New"/>
          <w:color w:val="404040"/>
          <w:sz w:val="16"/>
        </w:rPr>
        <w:t>MKT   [0.70, 0.65, 0.25, 0.60, 0.55, 1.00]</w:t>
      </w:r>
    </w:p>
    <w:p>
      <w:r>
        <w:t>Key observations:</w:t>
      </w:r>
    </w:p>
    <w:p>
      <w:pPr>
        <w:pStyle w:val="ListBullet"/>
      </w:pPr>
      <w:r>
        <w:t>EQ–FX correlation of 0.60: equity and FX tend to co-move (risk-off sells equities and weakens domestic currency)</w:t>
      </w:r>
    </w:p>
    <w:p>
      <w:pPr>
        <w:pStyle w:val="ListBullet"/>
      </w:pPr>
      <w:r>
        <w:t>IR has low correlation with everything (rates driven by central bank policy, not systemic risk)</w:t>
      </w:r>
    </w:p>
    <w:p>
      <w:pPr>
        <w:pStyle w:val="ListBullet"/>
      </w:pPr>
      <w:r>
        <w:t>Credit correlates highly with equity (0.50) and the market factor (0.60) — consistent with the Merton model</w:t>
      </w:r>
    </w:p>
    <w:p>
      <w:pPr>
        <w:pStyle w:val="ListBullet"/>
      </w:pPr>
      <w:r>
        <w:t>The market factor loads heavily on all assets — represents the systemic component</w:t>
      </w:r>
    </w:p>
    <w:p>
      <w:pPr>
        <w:pStyle w:val="Heading3"/>
        <w:jc w:val="left"/>
      </w:pPr>
      <w:r>
        <w:t>6.3 Cholesky Decomposition for Correlated Draws</w:t>
      </w:r>
    </w:p>
    <w:p>
      <w:r>
        <w:t>To generate correlated random variables from the independent standard normals, the Cholesky factorisation of the correlation matrix is applied:</w:t>
      </w:r>
    </w:p>
    <w:p>
      <w:pPr>
        <w:shd w:fill="F5F5F5"/>
      </w:pPr>
      <w:r>
        <w:rPr>
          <w:rFonts w:ascii="Courier New" w:hAnsi="Courier New"/>
          <w:color w:val="404040"/>
          <w:sz w:val="16"/>
        </w:rPr>
        <w:t>Σ = L × L^T    (Cholesky decomposition, lower-triangular L)</w:t>
      </w:r>
    </w:p>
    <w:p>
      <w:pPr>
        <w:shd w:fill="F5F5F5"/>
      </w:pPr>
      <w:r>
        <w:rPr>
          <w:rFonts w:ascii="Courier New" w:hAnsi="Courier New"/>
          <w:color w:val="404040"/>
          <w:sz w:val="16"/>
        </w:rPr>
        <w:t>Correlated draws: Z_corr = Z_uncorr @ L^T</w:t>
      </w:r>
    </w:p>
    <w:p>
      <w:r>
        <w:t>Where `Z_uncorr` is a matrix of independent N(0,1) draws.</w:t>
      </w:r>
    </w:p>
    <w:p>
      <w:r>
        <w:t>This is implemented via:</w:t>
      </w:r>
    </w:p>
    <w:p>
      <w:pPr>
        <w:shd w:fill="F5F5F5"/>
      </w:pPr>
      <w:r>
        <w:rPr>
          <w:rFonts w:ascii="Courier New" w:hAnsi="Courier New"/>
          <w:color w:val="404040"/>
          <w:sz w:val="16"/>
        </w:rPr>
        <w:t>self.corr_chol = cholesky(self.p.correlation_matrix, lower=True)</w:t>
      </w:r>
    </w:p>
    <w:p>
      <w:pPr>
        <w:shd w:fill="F5F5F5"/>
      </w:pPr>
      <w:r>
        <w:rPr>
          <w:rFonts w:ascii="Courier New" w:hAnsi="Courier New"/>
          <w:color w:val="404040"/>
          <w:sz w:val="16"/>
        </w:rPr>
        <w:t>correlated = np.einsum('...i,ji-&gt;...j', uncorrelated, self.corr_chol)</w:t>
      </w:r>
    </w:p>
    <w:p>
      <w:r>
        <w:t xml:space="preserve">The matrix is validated to be </w:t>
      </w:r>
      <w:r>
        <w:rPr>
          <w:b/>
        </w:rPr>
        <w:t>symmetric positive-definite</w:t>
      </w:r>
      <w:r>
        <w:t xml:space="preserve"> (all eigenvalues &gt; 0) before decomposition. If the matrix fails this check, calibration would produce unreliable risk estimates.</w:t>
      </w:r>
    </w:p>
    <w:p>
      <w:pPr>
        <w:pStyle w:val="Heading2"/>
        <w:jc w:val="left"/>
      </w:pPr>
      <w:r>
        <w:t>7. Stressed EEPE — 2007–2009 Calibration</w:t>
      </w:r>
    </w:p>
    <w:p>
      <w:pPr>
        <w:pStyle w:val="Heading3"/>
        <w:jc w:val="left"/>
      </w:pPr>
      <w:r>
        <w:t>7.1 Regulatory Requirement</w:t>
      </w:r>
    </w:p>
    <w:p>
      <w:r>
        <w:t xml:space="preserve">CRE53.17 requires banks to run a </w:t>
      </w:r>
      <w:r>
        <w:rPr>
          <w:b/>
        </w:rPr>
        <w:t>parallel simulation using parameters calibrated to the most stressful one-year period</w:t>
      </w:r>
      <w:r>
        <w:t xml:space="preserve"> in the observation window — typically the 2007–2009 global financial crisis.</w:t>
      </w:r>
    </w:p>
    <w:p>
      <w:pPr>
        <w:pStyle w:val="Heading3"/>
        <w:jc w:val="left"/>
      </w:pPr>
      <w:r>
        <w:t>7.2 Stressed Parameters — GFC Empirical Calibration (Version 3.8)</w:t>
      </w:r>
    </w:p>
    <w:p>
      <w:r>
        <w:t>Per-asset-class GFC stressed volatilities replace the prior single `stressed_vol = 2 × base` shortcut.</w:t>
      </w:r>
    </w:p>
    <w:p>
      <w:r>
        <w:t>Parameters are sourced from realised market data for the 2007–09 crisis period and enforced as</w:t>
      </w:r>
    </w:p>
    <w:p>
      <w:r>
        <w:t>regulatory floors in `calibration.py → apply_to_imm()` so that no rolling recalibration can reduce</w:t>
      </w:r>
    </w:p>
    <w:p>
      <w:r>
        <w:t>them below the observed GFC levels.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Asset Class</w:t>
            </w:r>
          </w:p>
        </w:tc>
        <w:tc>
          <w:tcPr>
            <w:tcW w:type="dxa" w:w="1440"/>
          </w:tcPr>
          <w:p>
            <w:r>
              <w:rPr>
                <w:b/>
                <w:sz w:val="20"/>
              </w:rPr>
              <w:t>Parameter</w:t>
            </w:r>
          </w:p>
        </w:tc>
        <w:tc>
          <w:tcPr>
            <w:tcW w:type="dxa" w:w="1440"/>
          </w:tcPr>
          <w:p>
            <w:r>
              <w:rPr>
                <w:b/>
                <w:sz w:val="20"/>
              </w:rPr>
              <w:t>Base</w:t>
            </w:r>
          </w:p>
        </w:tc>
        <w:tc>
          <w:tcPr>
            <w:tcW w:type="dxa" w:w="1440"/>
          </w:tcPr>
          <w:p>
            <w:r>
              <w:rPr>
                <w:b/>
                <w:sz w:val="20"/>
              </w:rPr>
              <w:t>**Stressed (GFC Floor)**</w:t>
            </w:r>
          </w:p>
        </w:tc>
        <w:tc>
          <w:tcPr>
            <w:tcW w:type="dxa" w:w="1440"/>
          </w:tcPr>
          <w:p>
            <w:r>
              <w:rPr>
                <w:b/>
                <w:sz w:val="20"/>
              </w:rPr>
              <w:t>Old (2× Shortcut)</w:t>
            </w:r>
          </w:p>
        </w:tc>
        <w:tc>
          <w:tcPr>
            <w:tcW w:type="dxa" w:w="1440"/>
          </w:tcPr>
          <w:p>
            <w:r>
              <w:rPr>
                <w:b/>
                <w:sz w:val="20"/>
              </w:rPr>
              <w:t>Empirical Source</w:t>
            </w:r>
          </w:p>
        </w:tc>
      </w:tr>
      <w:tr>
        <w:tc>
          <w:tcPr>
            <w:tcW w:type="dxa" w:w="1440"/>
          </w:tcPr>
          <w:p>
            <w:r>
              <w:t>Equity</w:t>
            </w:r>
          </w:p>
        </w:tc>
        <w:tc>
          <w:tcPr>
            <w:tcW w:type="dxa" w:w="1440"/>
          </w:tcPr>
          <w:p>
            <w:r>
              <w:t>`stressed_vol`</w:t>
            </w:r>
          </w:p>
        </w:tc>
        <w:tc>
          <w:tcPr>
            <w:tcW w:type="dxa" w:w="1440"/>
          </w:tcPr>
          <w:p>
            <w:r>
              <w:t>20%</w:t>
            </w:r>
          </w:p>
        </w:tc>
        <w:tc>
          <w:tcPr>
            <w:tcW w:type="dxa" w:w="1440"/>
          </w:tcPr>
          <w:p>
            <w:r>
              <w:t>**38%**</w:t>
            </w:r>
          </w:p>
        </w:tc>
        <w:tc>
          <w:tcPr>
            <w:tcW w:type="dxa" w:w="1440"/>
          </w:tcPr>
          <w:p>
            <w:r>
              <w:t>40%</w:t>
            </w:r>
          </w:p>
        </w:tc>
        <w:tc>
          <w:tcPr>
            <w:tcW w:type="dxa" w:w="1440"/>
          </w:tcPr>
          <w:p>
            <w:r>
              <w:t>S&amp;P 500 realised vol 2007–09; CBOE VIX avg ~32%</w:t>
            </w:r>
          </w:p>
        </w:tc>
      </w:tr>
      <w:tr>
        <w:tc>
          <w:tcPr>
            <w:tcW w:type="dxa" w:w="1440"/>
          </w:tcPr>
          <w:p>
            <w:r>
              <w:t>Interest Rate</w:t>
            </w:r>
          </w:p>
        </w:tc>
        <w:tc>
          <w:tcPr>
            <w:tcW w:type="dxa" w:w="1440"/>
          </w:tcPr>
          <w:p>
            <w:r>
              <w:t>`ir_stressed_vol`</w:t>
            </w:r>
          </w:p>
        </w:tc>
        <w:tc>
          <w:tcPr>
            <w:tcW w:type="dxa" w:w="1440"/>
          </w:tcPr>
          <w:p>
            <w:r>
              <w:t>1.5%</w:t>
            </w:r>
          </w:p>
        </w:tc>
        <w:tc>
          <w:tcPr>
            <w:tcW w:type="dxa" w:w="1440"/>
          </w:tcPr>
          <w:p>
            <w:r>
              <w:t>**≥ 2.0%**</w:t>
            </w:r>
          </w:p>
        </w:tc>
        <w:tc>
          <w:tcPr>
            <w:tcW w:type="dxa" w:w="1440"/>
          </w:tcPr>
          <w:p>
            <w:r>
              <w:t>3.0%</w:t>
            </w:r>
          </w:p>
        </w:tc>
        <w:tc>
          <w:tcPr>
            <w:tcW w:type="dxa" w:w="1440"/>
          </w:tcPr>
          <w:p>
            <w:r>
              <w:t>10Y UST absolute rate σ 2007–09 (~120–200bp/yr)</w:t>
            </w:r>
          </w:p>
        </w:tc>
      </w:tr>
      <w:tr>
        <w:tc>
          <w:tcPr>
            <w:tcW w:type="dxa" w:w="1440"/>
          </w:tcPr>
          <w:p>
            <w:r>
              <w:t>FX</w:t>
            </w:r>
          </w:p>
        </w:tc>
        <w:tc>
          <w:tcPr>
            <w:tcW w:type="dxa" w:w="1440"/>
          </w:tcPr>
          <w:p>
            <w:r>
              <w:t>`fx_stressed_vol`</w:t>
            </w:r>
          </w:p>
        </w:tc>
        <w:tc>
          <w:tcPr>
            <w:tcW w:type="dxa" w:w="1440"/>
          </w:tcPr>
          <w:p>
            <w:r>
              <w:t>10%</w:t>
            </w:r>
          </w:p>
        </w:tc>
        <w:tc>
          <w:tcPr>
            <w:tcW w:type="dxa" w:w="1440"/>
          </w:tcPr>
          <w:p>
            <w:r>
              <w:t>**18%**</w:t>
            </w:r>
          </w:p>
        </w:tc>
        <w:tc>
          <w:tcPr>
            <w:tcW w:type="dxa" w:w="1440"/>
          </w:tcPr>
          <w:p>
            <w:r>
              <w:t>20%</w:t>
            </w:r>
          </w:p>
        </w:tc>
        <w:tc>
          <w:tcPr>
            <w:tcW w:type="dxa" w:w="1440"/>
          </w:tcPr>
          <w:p>
            <w:r>
              <w:t>EURUSD realised vol 2007–09 (~15–18% annual)</w:t>
            </w:r>
          </w:p>
        </w:tc>
      </w:tr>
      <w:tr>
        <w:tc>
          <w:tcPr>
            <w:tcW w:type="dxa" w:w="1440"/>
          </w:tcPr>
          <w:p>
            <w:r>
              <w:t>Credit Spread</w:t>
            </w:r>
          </w:p>
        </w:tc>
        <w:tc>
          <w:tcPr>
            <w:tcW w:type="dxa" w:w="1440"/>
          </w:tcPr>
          <w:p>
            <w:r>
              <w:t>`cr_stressed_vol`</w:t>
            </w:r>
          </w:p>
        </w:tc>
        <w:tc>
          <w:tcPr>
            <w:tcW w:type="dxa" w:w="1440"/>
          </w:tcPr>
          <w:p>
            <w:r>
              <w:t>30%</w:t>
            </w:r>
          </w:p>
        </w:tc>
        <w:tc>
          <w:tcPr>
            <w:tcW w:type="dxa" w:w="1440"/>
          </w:tcPr>
          <w:p>
            <w:r>
              <w:t>**65%**</w:t>
            </w:r>
          </w:p>
        </w:tc>
        <w:tc>
          <w:tcPr>
            <w:tcW w:type="dxa" w:w="1440"/>
          </w:tcPr>
          <w:p>
            <w:r>
              <w:t>60%</w:t>
            </w:r>
          </w:p>
        </w:tc>
        <w:tc>
          <w:tcPr>
            <w:tcW w:type="dxa" w:w="1440"/>
          </w:tcPr>
          <w:p>
            <w:r>
              <w:t>IG CDX log-vol 2007–09 (spread 70bp→280bp)</w:t>
            </w:r>
          </w:p>
        </w:tc>
      </w:tr>
      <w:tr>
        <w:tc>
          <w:tcPr>
            <w:tcW w:type="dxa" w:w="1440"/>
          </w:tcPr>
          <w:p>
            <w:r>
              <w:t>Commodity</w:t>
            </w:r>
          </w:p>
        </w:tc>
        <w:tc>
          <w:tcPr>
            <w:tcW w:type="dxa" w:w="1440"/>
          </w:tcPr>
          <w:p>
            <w:r>
              <w:t>`cmdty_stressed_vol`</w:t>
            </w:r>
          </w:p>
        </w:tc>
        <w:tc>
          <w:tcPr>
            <w:tcW w:type="dxa" w:w="1440"/>
          </w:tcPr>
          <w:p>
            <w:r>
              <w:t>25%</w:t>
            </w:r>
          </w:p>
        </w:tc>
        <w:tc>
          <w:tcPr>
            <w:tcW w:type="dxa" w:w="1440"/>
          </w:tcPr>
          <w:p>
            <w:r>
              <w:t>**58%**</w:t>
            </w:r>
          </w:p>
        </w:tc>
        <w:tc>
          <w:tcPr>
            <w:tcW w:type="dxa" w:w="1440"/>
          </w:tcPr>
          <w:p>
            <w:r>
              <w:t>50%</w:t>
            </w:r>
          </w:p>
        </w:tc>
        <w:tc>
          <w:tcPr>
            <w:tcW w:type="dxa" w:w="1440"/>
          </w:tcPr>
          <w:p>
            <w:r>
              <w:t>WTI realised vol 2007–09 (oil $147→$35)</w:t>
            </w:r>
          </w:p>
        </w:tc>
      </w:tr>
      <w:tr>
        <w:tc>
          <w:tcPr>
            <w:tcW w:type="dxa" w:w="1440"/>
          </w:tcPr>
          <w:p>
            <w:r>
              <w:t>Correlation matrix</w:t>
            </w:r>
          </w:p>
        </w:tc>
        <w:tc>
          <w:tcPr>
            <w:tcW w:type="dxa" w:w="1440"/>
          </w:tcPr>
          <w:p>
            <w:r>
              <w:t>—</w:t>
            </w:r>
          </w:p>
        </w:tc>
        <w:tc>
          <w:tcPr>
            <w:tcW w:type="dxa" w:w="1440"/>
          </w:tcPr>
          <w:p>
            <w:r>
              <w:t>Base</w:t>
            </w:r>
          </w:p>
        </w:tc>
        <w:tc>
          <w:tcPr>
            <w:tcW w:type="dxa" w:w="1440"/>
          </w:tcPr>
          <w:p>
            <w:r>
              <w:t>Base (unchanged)</w:t>
            </w:r>
          </w:p>
        </w:tc>
        <w:tc>
          <w:tcPr>
            <w:tcW w:type="dxa" w:w="1440"/>
          </w:tcPr>
          <w:p>
            <w:r>
              <w:t>—</w:t>
            </w:r>
          </w:p>
        </w:tc>
        <w:tc>
          <w:tcPr>
            <w:tcW w:type="dxa" w:w="1440"/>
          </w:tcPr>
          <w:p>
            <w:r>
              <w:t>—</w:t>
            </w:r>
          </w:p>
        </w:tc>
      </w:tr>
    </w:tbl>
    <w:p>
      <w:r>
        <w:t xml:space="preserve">The stressed calibration window is: </w:t>
      </w:r>
      <w:r>
        <w:rPr>
          <w:b/>
        </w:rPr>
        <w:t>1 January 2007 — 31 December 2009</w:t>
      </w:r>
    </w:p>
    <w:p>
      <w:r>
        <w:rPr>
          <w:b/>
        </w:rPr>
        <w:t>Calibration pipeline protection (Version 3.8):</w:t>
      </w:r>
      <w:r>
        <w:t xml:space="preserve"> `apply</w:t>
      </w:r>
      <w:r>
        <w:rPr>
          <w:i/>
        </w:rPr>
        <w:t>to</w:t>
      </w:r>
      <w:r>
        <w:t>imm()` in `backend/data_sources/calibration.py`</w:t>
      </w:r>
    </w:p>
    <w:p>
      <w:r>
        <w:t>now enforces: `stressed_vol = max(rolling_calibration, 1.5 × base, GFC_floor)`. This prevents the</w:t>
      </w:r>
    </w:p>
    <w:p>
      <w:r>
        <w:t>rolling 1-year lookback window (which cannot span the GFC) from silently overriding the empirical floors.</w:t>
      </w:r>
    </w:p>
    <w:p>
      <w:pPr>
        <w:pStyle w:val="Heading3"/>
        <w:jc w:val="left"/>
      </w:pPr>
      <w:r>
        <w:t>7.3 Stressed EAD Calculation</w:t>
      </w:r>
    </w:p>
    <w:p>
      <w:pPr>
        <w:shd w:fill="F5F5F5"/>
      </w:pPr>
      <w:r>
        <w:rPr>
          <w:rFonts w:ascii="Courier New" w:hAnsi="Courier New"/>
          <w:color w:val="404040"/>
          <w:sz w:val="16"/>
        </w:rPr>
        <w:t>Stressed EEPE = time-weighted average(Stressed EEE) over [0, 1yr]   ← Fix 2: 1yr window</w:t>
      </w:r>
    </w:p>
    <w:p>
      <w:pPr>
        <w:shd w:fill="F5F5F5"/>
      </w:pPr>
      <w:r>
        <w:rPr>
          <w:rFonts w:ascii="Courier New" w:hAnsi="Courier New"/>
          <w:color w:val="404040"/>
          <w:sz w:val="16"/>
        </w:rPr>
        <w:t>Stressed EAD  = α × Stressed EEPE</w:t>
      </w:r>
    </w:p>
    <w:p>
      <w:pPr>
        <w:pStyle w:val="Heading3"/>
        <w:jc w:val="left"/>
      </w:pPr>
      <w:r>
        <w:t>7.4 Regulatory Capital Floor — Dual-Run max() (Version 3.8 / CRE51.15)</w:t>
      </w:r>
    </w:p>
    <w:p>
      <w:r>
        <w:t xml:space="preserve">CRE51.15 requires that the regulatory EAD is the </w:t>
      </w:r>
      <w:r>
        <w:rPr>
          <w:b/>
        </w:rPr>
        <w:t>maximum</w:t>
      </w:r>
      <w:r>
        <w:t xml:space="preserve"> of the current and stressed calibrations:</w:t>
      </w:r>
    </w:p>
    <w:p>
      <w:pPr>
        <w:shd w:fill="F5F5F5"/>
      </w:pPr>
      <w:r>
        <w:rPr>
          <w:rFonts w:ascii="Courier New" w:hAnsi="Courier New"/>
          <w:color w:val="404040"/>
          <w:sz w:val="16"/>
        </w:rPr>
        <w:t># backend/engines/imm.py — compute_rwa()</w:t>
      </w:r>
    </w:p>
    <w:p>
      <w:pPr>
        <w:shd w:fill="F5F5F5"/>
      </w:pPr>
      <w:r>
        <w:rPr>
          <w:rFonts w:ascii="Courier New" w:hAnsi="Courier New"/>
          <w:color w:val="404040"/>
          <w:sz w:val="16"/>
        </w:rPr>
        <w:t>ead_regulatory = max(profile.ead, profile.stressed_ead)   # Fix 1 (CRE51.15)</w:t>
      </w:r>
    </w:p>
    <w:p>
      <w:pPr>
        <w:shd w:fill="F5F5F5"/>
      </w:pPr>
      <w:r>
        <w:rPr>
          <w:rFonts w:ascii="Courier New" w:hAnsi="Courier New"/>
          <w:color w:val="404040"/>
          <w:sz w:val="16"/>
        </w:rPr>
        <w:t>RWA_IMM = ead_regulatory × risk_weight × 12.5 × 0.08</w:t>
      </w:r>
    </w:p>
    <w:p>
      <w:r>
        <w:t>`run_for_portfolio()` now returns `ead_regulatory` and `stressed_binding` keys to expose which</w:t>
      </w:r>
    </w:p>
    <w:p>
      <w:r>
        <w:t>run drove the capital charge on each execution date.</w:t>
      </w:r>
    </w:p>
    <w:p>
      <w:r>
        <w:t>This prevents banks from gaming the system by calibrating to a benign recent period.</w:t>
      </w:r>
    </w:p>
    <w:p>
      <w:pPr>
        <w:pStyle w:val="Heading2"/>
        <w:jc w:val="left"/>
      </w:pPr>
      <w:r>
        <w:t>8. CSA / Collateral Adjustment — Path-Level Margined EEPE (Version 3.9)</w:t>
      </w:r>
    </w:p>
    <w:p>
      <w:r>
        <w:t xml:space="preserve">&gt; </w:t>
      </w:r>
      <w:r>
        <w:rPr>
          <w:b/>
        </w:rPr>
        <w:t>Version 3.9 enhancement:</w:t>
      </w:r>
      <w:r>
        <w:t xml:space="preserve"> Section 8 has been fully upgraded from the CRE53.22 approximation</w:t>
      </w:r>
    </w:p>
    <w:p>
      <w:r>
        <w:t xml:space="preserve">&gt; to the </w:t>
      </w:r>
      <w:r>
        <w:rPr>
          <w:b/>
        </w:rPr>
        <w:t>CRE53 §margined EEPE preferred method</w:t>
      </w:r>
      <w:r>
        <w:t xml:space="preserve"> — explicit simulation of VM and IM collateral</w:t>
      </w:r>
    </w:p>
    <w:p>
      <w:r>
        <w:t>&gt; paths at each Monte Carlo node. The approximation is retained as a fallback.</w:t>
      </w:r>
    </w:p>
    <w:p>
      <w:pPr>
        <w:pStyle w:val="Heading3"/>
        <w:jc w:val="left"/>
      </w:pPr>
      <w:r>
        <w:t>8.1 Credit Support Annex (CSA) Terms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Parameter</w:t>
            </w:r>
          </w:p>
        </w:tc>
        <w:tc>
          <w:tcPr>
            <w:tcW w:type="dxa" w:w="2160"/>
          </w:tcPr>
          <w:p>
            <w:r>
              <w:rPr>
                <w:b/>
                <w:sz w:val="20"/>
              </w:rPr>
              <w:t>Code Name</w:t>
            </w:r>
          </w:p>
        </w:tc>
        <w:tc>
          <w:tcPr>
            <w:tcW w:type="dxa" w:w="2160"/>
          </w:tcPr>
          <w:p>
            <w:r>
              <w:rPr>
                <w:b/>
                <w:sz w:val="20"/>
              </w:rPr>
              <w:t>Default</w:t>
            </w:r>
          </w:p>
        </w:tc>
        <w:tc>
          <w:tcPr>
            <w:tcW w:type="dxa" w:w="2160"/>
          </w:tcPr>
          <w:p>
            <w:r>
              <w:rPr>
                <w:b/>
                <w:sz w:val="20"/>
              </w:rPr>
              <w:t>Description</w:t>
            </w:r>
          </w:p>
        </w:tc>
      </w:tr>
      <w:tr>
        <w:tc>
          <w:tcPr>
            <w:tcW w:type="dxa" w:w="2160"/>
          </w:tcPr>
          <w:p>
            <w:r>
              <w:t>Threshold (TH)</w:t>
            </w:r>
          </w:p>
        </w:tc>
        <w:tc>
          <w:tcPr>
            <w:tcW w:type="dxa" w:w="2160"/>
          </w:tcPr>
          <w:p>
            <w:r>
              <w:t>`threshold`</w:t>
            </w:r>
          </w:p>
        </w:tc>
        <w:tc>
          <w:tcPr>
            <w:tcW w:type="dxa" w:w="2160"/>
          </w:tcPr>
          <w:p>
            <w:r>
              <w:t>$500,000</w:t>
            </w:r>
          </w:p>
        </w:tc>
        <w:tc>
          <w:tcPr>
            <w:tcW w:type="dxa" w:w="2160"/>
          </w:tcPr>
          <w:p>
            <w:r>
              <w:t>Minimum exposure before VM is called</w:t>
            </w:r>
          </w:p>
        </w:tc>
      </w:tr>
      <w:tr>
        <w:tc>
          <w:tcPr>
            <w:tcW w:type="dxa" w:w="2160"/>
          </w:tcPr>
          <w:p>
            <w:r>
              <w:t>Minimum Transfer Amount</w:t>
            </w:r>
          </w:p>
        </w:tc>
        <w:tc>
          <w:tcPr>
            <w:tcW w:type="dxa" w:w="2160"/>
          </w:tcPr>
          <w:p>
            <w:r>
              <w:t>`mta`</w:t>
            </w:r>
          </w:p>
        </w:tc>
        <w:tc>
          <w:tcPr>
            <w:tcW w:type="dxa" w:w="2160"/>
          </w:tcPr>
          <w:p>
            <w:r>
              <w:t>$100,000</w:t>
            </w:r>
          </w:p>
        </w:tc>
        <w:tc>
          <w:tcPr>
            <w:tcW w:type="dxa" w:w="2160"/>
          </w:tcPr>
          <w:p>
            <w:r>
              <w:t>Smallest margin transfer permitted</w:t>
            </w:r>
          </w:p>
        </w:tc>
      </w:tr>
      <w:tr>
        <w:tc>
          <w:tcPr>
            <w:tcW w:type="dxa" w:w="2160"/>
          </w:tcPr>
          <w:p>
            <w:r>
              <w:t>Haircut (h)</w:t>
            </w:r>
          </w:p>
        </w:tc>
        <w:tc>
          <w:tcPr>
            <w:tcW w:type="dxa" w:w="2160"/>
          </w:tcPr>
          <w:p>
            <w:r>
              <w:t>`haircut`</w:t>
            </w:r>
          </w:p>
        </w:tc>
        <w:tc>
          <w:tcPr>
            <w:tcW w:type="dxa" w:w="2160"/>
          </w:tcPr>
          <w:p>
            <w:r>
              <w:t>2%</w:t>
            </w:r>
          </w:p>
        </w:tc>
        <w:tc>
          <w:tcPr>
            <w:tcW w:type="dxa" w:w="2160"/>
          </w:tcPr>
          <w:p>
            <w:r>
              <w:t>Discount on posted collateral value</w:t>
            </w:r>
          </w:p>
        </w:tc>
      </w:tr>
      <w:tr>
        <w:tc>
          <w:tcPr>
            <w:tcW w:type="dxa" w:w="2160"/>
          </w:tcPr>
          <w:p>
            <w:r>
              <w:t>Margin Period of Risk</w:t>
            </w:r>
          </w:p>
        </w:tc>
        <w:tc>
          <w:tcPr>
            <w:tcW w:type="dxa" w:w="2160"/>
          </w:tcPr>
          <w:p>
            <w:r>
              <w:t>`mpor_days`</w:t>
            </w:r>
          </w:p>
        </w:tc>
        <w:tc>
          <w:tcPr>
            <w:tcW w:type="dxa" w:w="2160"/>
          </w:tcPr>
          <w:p>
            <w:r>
              <w:t>10</w:t>
            </w:r>
          </w:p>
        </w:tc>
        <w:tc>
          <w:tcPr>
            <w:tcW w:type="dxa" w:w="2160"/>
          </w:tcPr>
          <w:p>
            <w:r>
              <w:t>Business days lag to receive new VM post-call</w:t>
            </w:r>
          </w:p>
        </w:tc>
      </w:tr>
      <w:tr>
        <w:tc>
          <w:tcPr>
            <w:tcW w:type="dxa" w:w="2160"/>
          </w:tcPr>
          <w:p>
            <w:r>
              <w:t>Initial Margin (IM)</w:t>
            </w:r>
          </w:p>
        </w:tc>
        <w:tc>
          <w:tcPr>
            <w:tcW w:type="dxa" w:w="2160"/>
          </w:tcPr>
          <w:p>
            <w:r>
              <w:t>`initial_margin`</w:t>
            </w:r>
          </w:p>
        </w:tc>
        <w:tc>
          <w:tcPr>
            <w:tcW w:type="dxa" w:w="2160"/>
          </w:tcPr>
          <w:p>
            <w:r>
              <w:t>$0</w:t>
            </w:r>
          </w:p>
        </w:tc>
        <w:tc>
          <w:tcPr>
            <w:tcW w:type="dxa" w:w="2160"/>
          </w:tcPr>
          <w:p>
            <w:r>
              <w:t>Upfront risk buffer, held throughout</w:t>
            </w:r>
          </w:p>
        </w:tc>
      </w:tr>
      <w:tr>
        <w:tc>
          <w:tcPr>
            <w:tcW w:type="dxa" w:w="2160"/>
          </w:tcPr>
          <w:p>
            <w:r>
              <w:t>Variation Margin (VM)</w:t>
            </w:r>
          </w:p>
        </w:tc>
        <w:tc>
          <w:tcPr>
            <w:tcW w:type="dxa" w:w="2160"/>
          </w:tcPr>
          <w:p>
            <w:r>
              <w:t>`variation_margin`</w:t>
            </w:r>
          </w:p>
        </w:tc>
        <w:tc>
          <w:tcPr>
            <w:tcW w:type="dxa" w:w="2160"/>
          </w:tcPr>
          <w:p>
            <w:r>
              <w:t>MtM</w:t>
            </w:r>
          </w:p>
        </w:tc>
        <w:tc>
          <w:tcPr>
            <w:tcW w:type="dxa" w:w="2160"/>
          </w:tcPr>
          <w:p>
            <w:r>
              <w:t>Daily collateral tracking mark-to-market</w:t>
            </w:r>
          </w:p>
        </w:tc>
      </w:tr>
      <w:tr>
        <w:tc>
          <w:tcPr>
            <w:tcW w:type="dxa" w:w="2160"/>
          </w:tcPr>
          <w:p>
            <w:r>
              <w:t>Daily Settlement</w:t>
            </w:r>
          </w:p>
        </w:tc>
        <w:tc>
          <w:tcPr>
            <w:tcW w:type="dxa" w:w="2160"/>
          </w:tcPr>
          <w:p>
            <w:r>
              <w:t>`daily_settlement`</w:t>
            </w:r>
          </w:p>
        </w:tc>
        <w:tc>
          <w:tcPr>
            <w:tcW w:type="dxa" w:w="2160"/>
          </w:tcPr>
          <w:p>
            <w:r>
              <w:t>True</w:t>
            </w:r>
          </w:p>
        </w:tc>
        <w:tc>
          <w:tcPr>
            <w:tcW w:type="dxa" w:w="2160"/>
          </w:tcPr>
          <w:p>
            <w:r>
              <w:t>VM settles T+0 (True) or T+N (False)</w:t>
            </w:r>
          </w:p>
        </w:tc>
      </w:tr>
      <w:tr>
        <w:tc>
          <w:tcPr>
            <w:tcW w:type="dxa" w:w="2160"/>
          </w:tcPr>
          <w:p>
            <w:r>
              <w:t>NICA</w:t>
            </w:r>
          </w:p>
        </w:tc>
        <w:tc>
          <w:tcPr>
            <w:tcW w:type="dxa" w:w="2160"/>
          </w:tcPr>
          <w:p>
            <w:r>
              <w:t>`initial_margin`</w:t>
            </w:r>
          </w:p>
        </w:tc>
        <w:tc>
          <w:tcPr>
            <w:tcW w:type="dxa" w:w="2160"/>
          </w:tcPr>
          <w:p>
            <w:r>
              <w:t>= IM</w:t>
            </w:r>
          </w:p>
        </w:tc>
        <w:tc>
          <w:tcPr>
            <w:tcW w:type="dxa" w:w="2160"/>
          </w:tcPr>
          <w:p>
            <w:r>
              <w:t>Net Independent Collateral Amount (CRE52.18)</w:t>
            </w:r>
          </w:p>
        </w:tc>
      </w:tr>
    </w:tbl>
    <w:p>
      <w:pPr>
        <w:pStyle w:val="Heading3"/>
        <w:jc w:val="left"/>
      </w:pPr>
      <w:r>
        <w:t>8.2 Why the CRE53.22 Approximation Understates EAD</w:t>
      </w:r>
    </w:p>
    <w:p>
      <w:r>
        <w:t>Before Version 3.9, the engine used the CRE53.22 approximation for future exposure:</w:t>
      </w:r>
    </w:p>
    <w:p>
      <w:pPr>
        <w:shd w:fill="F5F5F5"/>
      </w:pPr>
      <w:r>
        <w:rPr>
          <w:rFonts w:ascii="Courier New" w:hAnsi="Courier New"/>
          <w:color w:val="404040"/>
          <w:sz w:val="16"/>
        </w:rPr>
        <w:t>EEPE_margined ≈ EEPE_gross × √(MPOR / 250)      ← CRE53.22 approximation</w:t>
      </w:r>
    </w:p>
    <w:p>
      <w:r>
        <w:t>This formula has three material limitations:</w:t>
      </w:r>
    </w:p>
    <w:p>
      <w:pPr>
        <w:pStyle w:val="ListNumber"/>
      </w:pPr>
      <w:r>
        <w:t>**It ignores the MPOR lag.** Collateral is not received instantaneously — it arrives MPOR</w:t>
      </w:r>
    </w:p>
    <w:p>
      <w:r>
        <w:t>business days after the margin call. During that window the portfolio is fully exposed.</w:t>
      </w:r>
    </w:p>
    <w:p>
      <w:r>
        <w:t>The approximation implicitly treats collateral as arriving at the same instant as the</w:t>
      </w:r>
    </w:p>
    <w:p>
      <w:r>
        <w:t>exposure, which under-states the residual exposure in high-MtM scenarios.</w:t>
      </w:r>
    </w:p>
    <w:p>
      <w:pPr>
        <w:pStyle w:val="ListNumber"/>
      </w:pPr>
      <w:r>
        <w:t>**It ignores threshold and MTA.** Exposures below TH + MTA receive **no VM relief at all**.</w:t>
      </w:r>
    </w:p>
    <w:p>
      <w:r>
        <w:t>The approximation applies a uniform √(MPOR/250) scaling regardless of whether the exposure</w:t>
      </w:r>
    </w:p>
    <w:p>
      <w:r>
        <w:t>is above or below the threshold.</w:t>
      </w:r>
    </w:p>
    <w:p>
      <w:pPr>
        <w:pStyle w:val="ListNumber"/>
      </w:pPr>
      <w:r>
        <w:t>**It ignores scenario-level correlation.** In the tail scenarios that drive EEPE, the exposure</w:t>
      </w:r>
    </w:p>
    <w:p>
      <w:r>
        <w:t>is large and the VM account tends to be underposted (the counterparty has already posted based</w:t>
      </w:r>
    </w:p>
    <w:p>
      <w:r>
        <w:t>on a lower prior MtM). The approximation cannot capture this because it operates on the</w:t>
      </w:r>
    </w:p>
    <w:p>
      <w:r>
        <w:t>scalar EEPE_gross, not on individual path values.</w:t>
      </w:r>
    </w:p>
    <w:p>
      <w:r>
        <w:t xml:space="preserve">The result is that the approximation </w:t>
      </w:r>
      <w:r>
        <w:rPr>
          <w:b/>
        </w:rPr>
        <w:t>over-reduces</w:t>
      </w:r>
      <w:r>
        <w:t xml:space="preserve"> EAD: it produces a lower (more optimistic)</w:t>
      </w:r>
    </w:p>
    <w:p>
      <w:r>
        <w:t>EAD than the path-level method, which is the wrong direction for a conservative capital calculation.</w:t>
      </w:r>
    </w:p>
    <w:p>
      <w:pPr>
        <w:pStyle w:val="Heading3"/>
        <w:jc w:val="left"/>
      </w:pPr>
      <w:r>
        <w:t>8.3 CRE53 §margined EEPE — Path-Level Method (Version 3.9)</w:t>
      </w:r>
    </w:p>
    <w:p>
      <w:pPr>
        <w:pStyle w:val="Heading3"/>
        <w:jc w:val="left"/>
      </w:pPr>
      <w:r>
        <w:t>8.3.1 Regulatory Basis</w:t>
      </w:r>
    </w:p>
    <w:p>
      <w:r>
        <w:t>CRE53.14: *"For margined counterparties where the model explicitly simulates the re-margining</w:t>
      </w:r>
    </w:p>
    <w:p>
      <w:r>
        <w:t>process, the bank may compute Effective EE directly from the margined exposure paths."*</w:t>
      </w:r>
    </w:p>
    <w:p>
      <w:r>
        <w:t>When a model does explicitly simulate margining (as PROMETHEUS now does), the preferred metric is:</w:t>
      </w:r>
    </w:p>
    <w:p>
      <w:pPr>
        <w:shd w:fill="F5F5F5"/>
      </w:pPr>
      <w:r>
        <w:rPr>
          <w:rFonts w:ascii="Courier New" w:hAnsi="Courier New"/>
          <w:color w:val="404040"/>
          <w:sz w:val="16"/>
        </w:rPr>
        <w:t>EE_margined(t) = E [ max( MtM(t) − VM(t) − IM,  TH + MTA − NICA,  0 ) ]</w:t>
      </w:r>
    </w:p>
    <w:p>
      <w:r>
        <w:t xml:space="preserve">where VM(t) is the VM </w:t>
      </w:r>
      <w:r>
        <w:rPr>
          <w:b/>
        </w:rPr>
        <w:t>actually held</w:t>
      </w:r>
      <w:r>
        <w:t xml:space="preserve"> at time t — posted MPOR days before t, not the current MtM.</w:t>
      </w:r>
    </w:p>
    <w:p>
      <w:pPr>
        <w:shd w:fill="F5F5F5"/>
      </w:pPr>
      <w:r>
        <w:rPr>
          <w:rFonts w:ascii="Courier New" w:hAnsi="Courier New"/>
          <w:color w:val="404040"/>
          <w:sz w:val="16"/>
        </w:rPr>
        <w:t>EEPE_margined = time-weighted average of EEE_margined over [0, min(1yr, maturity)]</w:t>
      </w:r>
    </w:p>
    <w:p>
      <w:pPr>
        <w:shd w:fill="F5F5F5"/>
      </w:pPr>
      <w:r>
        <w:rPr>
          <w:rFonts w:ascii="Courier New" w:hAnsi="Courier New"/>
          <w:color w:val="404040"/>
          <w:sz w:val="16"/>
        </w:rPr>
        <w:t>EAD_csa       = α × EEPE_margined</w:t>
      </w:r>
    </w:p>
    <w:p>
      <w:pPr>
        <w:pStyle w:val="Heading3"/>
        <w:jc w:val="left"/>
      </w:pPr>
      <w:r>
        <w:t>8.3.2 VM Path Simulation (`_simulate_vm_paths`)</w:t>
      </w:r>
    </w:p>
    <w:p>
      <w:r>
        <w:t xml:space="preserve">The VM account at each Monte Carlo node is the </w:t>
      </w:r>
      <w:r>
        <w:rPr>
          <w:b/>
        </w:rPr>
        <w:t>delayed</w:t>
      </w:r>
      <w:r>
        <w:t xml:space="preserve"> call amount — what was called</w:t>
      </w:r>
    </w:p>
    <w:p>
      <w:r>
        <w:t>MPOR business days ago, not the current exposure:</w:t>
      </w:r>
    </w:p>
    <w:p>
      <w:pPr>
        <w:shd w:fill="F5F5F5"/>
      </w:pPr>
      <w:r>
        <w:rPr>
          <w:rFonts w:ascii="Courier New" w:hAnsi="Courier New"/>
          <w:color w:val="404040"/>
          <w:sz w:val="16"/>
        </w:rPr>
        <w:t>call_amount[i, t] = max( 0,  exposure[i, t] − TH − MTA )     ← call raised at t</w:t>
      </w:r>
    </w:p>
    <w:p>
      <w:pPr>
        <w:shd w:fill="F5F5F5"/>
      </w:pPr>
      <w:r>
        <w:rPr>
          <w:rFonts w:ascii="Courier New" w:hAnsi="Courier New"/>
          <w:color w:val="404040"/>
          <w:sz w:val="16"/>
        </w:rPr>
        <w:t>lag               = round( MPOR × steps_per_day )              ← simulation steps</w:t>
      </w:r>
    </w:p>
    <w:p>
      <w:pPr>
        <w:shd w:fill="F5F5F5"/>
      </w:pPr>
      <w:r>
        <w:rPr>
          <w:rFonts w:ascii="Courier New" w:hAnsi="Courier New"/>
          <w:color w:val="404040"/>
          <w:sz w:val="16"/>
        </w:rPr>
        <w:t>VM_received[i, t] = call_amount[i, t − lag]    for t ≥ lag</w:t>
      </w:r>
    </w:p>
    <w:p>
      <w:pPr>
        <w:shd w:fill="F5F5F5"/>
      </w:pPr>
      <w:r>
        <w:rPr>
          <w:rFonts w:ascii="Courier New" w:hAnsi="Courier New"/>
          <w:color w:val="404040"/>
          <w:sz w:val="16"/>
        </w:rPr>
        <w:t>VM_received[i, t] = 0                           for t &lt; lag</w:t>
      </w:r>
    </w:p>
    <w:p>
      <w:pPr>
        <w:shd w:fill="F5F5F5"/>
      </w:pPr>
      <w:r>
        <w:rPr>
          <w:rFonts w:ascii="Courier New" w:hAnsi="Courier New"/>
          <w:color w:val="404040"/>
          <w:sz w:val="16"/>
        </w:rPr>
        <w:t>vm_paths[i, t]    = (1 − haircut) × VM_received[i, t]</w:t>
      </w:r>
    </w:p>
    <w:p>
      <w:r>
        <w:t>Key properties:</w:t>
      </w:r>
    </w:p>
    <w:p>
      <w:pPr>
        <w:pStyle w:val="ListBullet"/>
      </w:pPr>
      <w:r>
        <w:t>At `t = 0`, VM is zero — no collateral has been called or received yet</w:t>
      </w:r>
    </w:p>
    <w:p>
      <w:pPr>
        <w:pStyle w:val="ListBullet"/>
      </w:pPr>
      <w:r>
        <w:t>Below TH + MTA, no VM is called regardless of exposure</w:t>
      </w:r>
    </w:p>
    <w:p>
      <w:pPr>
        <w:pStyle w:val="ListBullet"/>
      </w:pPr>
      <w:r>
        <w:t>The MPOR lag creates an "exposure window" where gross exposure accrues uncovered</w:t>
      </w:r>
    </w:p>
    <w:p>
      <w:pPr>
        <w:pStyle w:val="Heading3"/>
        <w:jc w:val="left"/>
      </w:pPr>
      <w:r>
        <w:t>8.3.3 IM Path Simulation (`_simulate_im_paths`)</w:t>
      </w:r>
    </w:p>
    <w:p>
      <w:r>
        <w:t>Initial Margin provides a standing risk buffer that reduces net exposure at all nodes:</w:t>
      </w:r>
    </w:p>
    <w:p>
      <w:pPr>
        <w:shd w:fill="F5F5F5"/>
      </w:pPr>
      <w:r>
        <w:rPr>
          <w:rFonts w:ascii="Courier New" w:hAnsi="Courier New"/>
          <w:color w:val="404040"/>
          <w:sz w:val="16"/>
        </w:rPr>
        <w:t>im_paths[i, t] = im_fixed + im_fraction × exposure[i, t]</w:t>
      </w:r>
    </w:p>
    <w:p>
      <w:r>
        <w:t>Where:</w:t>
      </w:r>
    </w:p>
    <w:p>
      <w:pPr>
        <w:pStyle w:val="ListBullet"/>
      </w:pPr>
      <w:r>
        <w:t>`im_fixed` = fixed IM posted at trade inception (e.g. initial margin from CSA)</w:t>
      </w:r>
    </w:p>
    <w:p>
      <w:pPr>
        <w:pStyle w:val="ListBullet"/>
      </w:pPr>
      <w:r>
        <w:t>`im_fraction` = dynamic IM scaling with exposure (0 for bilateral CSA; &gt;0 for cleared portfolios)</w:t>
      </w:r>
    </w:p>
    <w:p>
      <w:r>
        <w:t>For standard bilateral CSA portfolios, `im_fraction = 0` and IM is constant across all scenarios.</w:t>
      </w:r>
    </w:p>
    <w:p>
      <w:pPr>
        <w:pStyle w:val="Heading3"/>
        <w:jc w:val="left"/>
      </w:pPr>
      <w:r>
        <w:t>8.3.4 Net Exposure and EEPE Computation</w:t>
      </w:r>
    </w:p>
    <w:p>
      <w:pPr>
        <w:shd w:fill="F5F5F5"/>
      </w:pPr>
      <w:r>
        <w:rPr>
          <w:rFonts w:ascii="Courier New" w:hAnsi="Courier New"/>
          <w:color w:val="404040"/>
          <w:sz w:val="16"/>
        </w:rPr>
        <w:t># Net exposure at each path × node</w:t>
      </w:r>
    </w:p>
    <w:p>
      <w:pPr>
        <w:shd w:fill="F5F5F5"/>
      </w:pPr>
      <w:r>
        <w:rPr>
          <w:rFonts w:ascii="Courier New" w:hAnsi="Courier New"/>
          <w:color w:val="404040"/>
          <w:sz w:val="16"/>
        </w:rPr>
        <w:t>floor_term         = max(TH + MTA − NICA, 0)</w:t>
      </w:r>
    </w:p>
    <w:p>
      <w:pPr>
        <w:shd w:fill="F5F5F5"/>
      </w:pPr>
      <w:r>
        <w:rPr>
          <w:rFonts w:ascii="Courier New" w:hAnsi="Courier New"/>
          <w:color w:val="404040"/>
          <w:sz w:val="16"/>
        </w:rPr>
        <w:t>net_exposure[i, t] = max( exposure[i,t] − vm_paths[i,t] − im_paths[i,t],</w:t>
      </w:r>
    </w:p>
    <w:p>
      <w:pPr>
        <w:shd w:fill="F5F5F5"/>
      </w:pPr>
      <w:r>
        <w:rPr>
          <w:rFonts w:ascii="Courier New" w:hAnsi="Courier New"/>
          <w:color w:val="404040"/>
          <w:sz w:val="16"/>
        </w:rPr>
        <w:t xml:space="preserve">                          floor_term, 0 )</w:t>
      </w:r>
    </w:p>
    <w:p>
      <w:pPr>
        <w:shd w:fill="F5F5F5"/>
      </w:pPr>
      <w:r>
        <w:rPr>
          <w:rFonts w:ascii="Courier New" w:hAnsi="Courier New"/>
          <w:color w:val="404040"/>
          <w:sz w:val="16"/>
        </w:rPr>
        <w:t># EE, EEE, EEPE on margined paths (same pipeline as gross)</w:t>
      </w:r>
    </w:p>
    <w:p>
      <w:pPr>
        <w:shd w:fill="F5F5F5"/>
      </w:pPr>
      <w:r>
        <w:rPr>
          <w:rFonts w:ascii="Courier New" w:hAnsi="Courier New"/>
          <w:color w:val="404040"/>
          <w:sz w:val="16"/>
        </w:rPr>
        <w:t>EE_margined(t)     = mean over i of net_exposure[i, t]</w:t>
      </w:r>
    </w:p>
    <w:p>
      <w:pPr>
        <w:shd w:fill="F5F5F5"/>
      </w:pPr>
      <w:r>
        <w:rPr>
          <w:rFonts w:ascii="Courier New" w:hAnsi="Courier New"/>
          <w:color w:val="404040"/>
          <w:sz w:val="16"/>
        </w:rPr>
        <w:t>EEE_margined(t)    = max(EE_margined(t), EEE_margined(t-1))   ← non-decreasing</w:t>
      </w:r>
    </w:p>
    <w:p>
      <w:pPr>
        <w:shd w:fill="F5F5F5"/>
      </w:pPr>
      <w:r>
        <w:rPr>
          <w:rFonts w:ascii="Courier New" w:hAnsi="Courier New"/>
          <w:color w:val="404040"/>
          <w:sz w:val="16"/>
        </w:rPr>
        <w:t>EEPE_margined      = time-weighted average of EEE_margined over [0, 1yr]   ← Fix 2 window</w:t>
      </w:r>
    </w:p>
    <w:p>
      <w:pPr>
        <w:shd w:fill="F5F5F5"/>
      </w:pPr>
      <w:r>
        <w:rPr>
          <w:rFonts w:ascii="Courier New" w:hAnsi="Courier New"/>
          <w:color w:val="404040"/>
          <w:sz w:val="16"/>
        </w:rPr>
        <w:t>EAD_csa            = α × EEPE_margined</w:t>
      </w:r>
    </w:p>
    <w:p>
      <w:pPr>
        <w:pStyle w:val="Heading3"/>
        <w:jc w:val="left"/>
      </w:pPr>
      <w:r>
        <w:t>8.4 Two-Tier Regulatory EAD System</w:t>
      </w:r>
    </w:p>
    <w:p>
      <w:r>
        <w:t>`compute_csa_ead_regulatory()` automatically selects the method based on data availability: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Tier</w:t>
            </w:r>
          </w:p>
        </w:tc>
        <w:tc>
          <w:tcPr>
            <w:tcW w:type="dxa" w:w="2160"/>
          </w:tcPr>
          <w:p>
            <w:r>
              <w:rPr>
                <w:b/>
                <w:sz w:val="20"/>
              </w:rPr>
              <w:t>Method</w:t>
            </w:r>
          </w:p>
        </w:tc>
        <w:tc>
          <w:tcPr>
            <w:tcW w:type="dxa" w:w="2160"/>
          </w:tcPr>
          <w:p>
            <w:r>
              <w:rPr>
                <w:b/>
                <w:sz w:val="20"/>
              </w:rPr>
              <w:t>Condition</w:t>
            </w:r>
          </w:p>
        </w:tc>
        <w:tc>
          <w:tcPr>
            <w:tcW w:type="dxa" w:w="2160"/>
          </w:tcPr>
          <w:p>
            <w:r>
              <w:rPr>
                <w:b/>
                <w:sz w:val="20"/>
              </w:rPr>
              <w:t>Trace Code</w:t>
            </w:r>
          </w:p>
        </w:tc>
      </w:tr>
      <w:tr>
        <w:tc>
          <w:tcPr>
            <w:tcW w:type="dxa" w:w="2160"/>
          </w:tcPr>
          <w:p>
            <w:r>
              <w:t>**1**</w:t>
            </w:r>
          </w:p>
        </w:tc>
        <w:tc>
          <w:tcPr>
            <w:tcW w:type="dxa" w:w="2160"/>
          </w:tcPr>
          <w:p>
            <w:r>
              <w:t>**Path-level margined EEPE**</w:t>
            </w:r>
          </w:p>
        </w:tc>
        <w:tc>
          <w:tcPr>
            <w:tcW w:type="dxa" w:w="2160"/>
          </w:tcPr>
          <w:p>
            <w:r>
              <w:t>`exposure_paths` stored on profile</w:t>
            </w:r>
          </w:p>
        </w:tc>
        <w:tc>
          <w:tcPr>
            <w:tcW w:type="dxa" w:w="2160"/>
          </w:tcPr>
          <w:p>
            <w:r>
              <w:t>`CRE53-PATH-LEVEL`</w:t>
            </w:r>
          </w:p>
        </w:tc>
      </w:tr>
      <w:tr>
        <w:tc>
          <w:tcPr>
            <w:tcW w:type="dxa" w:w="2160"/>
          </w:tcPr>
          <w:p>
            <w:r>
              <w:t>2</w:t>
            </w:r>
          </w:p>
        </w:tc>
        <w:tc>
          <w:tcPr>
            <w:tcW w:type="dxa" w:w="2160"/>
          </w:tcPr>
          <w:p>
            <w:r>
              <w:t>CRE53.22 approximation</w:t>
            </w:r>
          </w:p>
        </w:tc>
        <w:tc>
          <w:tcPr>
            <w:tcW w:type="dxa" w:w="2160"/>
          </w:tcPr>
          <w:p>
            <w:r>
              <w:t>`exposure_paths = None`</w:t>
            </w:r>
          </w:p>
        </w:tc>
        <w:tc>
          <w:tcPr>
            <w:tcW w:type="dxa" w:w="2160"/>
          </w:tcPr>
          <w:p>
            <w:r>
              <w:t>`CRE53-APPROX-FALLBACK`</w:t>
            </w:r>
          </w:p>
        </w:tc>
      </w:tr>
    </w:tbl>
    <w:p>
      <w:r>
        <w:t>The `csa_method` trace code is returned in `run_for_portfolio()` for audit trail.</w:t>
      </w:r>
    </w:p>
    <w:p>
      <w:r>
        <w:t>&gt; `exposure_paths` are stored by default in `compute_exposure_profile()`.</w:t>
      </w:r>
    </w:p>
    <w:p>
      <w:r>
        <w:t>&gt; Set to `None` only in memory-constrained environments (e.g. large batch runs).</w:t>
      </w:r>
    </w:p>
    <w:p>
      <w:pPr>
        <w:pStyle w:val="Heading3"/>
        <w:jc w:val="left"/>
      </w:pPr>
      <w:r>
        <w:t>8.5 New ExposureProfile Fields (Version 3.9)</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Description</w:t>
            </w:r>
          </w:p>
        </w:tc>
      </w:tr>
      <w:tr>
        <w:tc>
          <w:tcPr>
            <w:tcW w:type="dxa" w:w="4320"/>
          </w:tcPr>
          <w:p>
            <w:r>
              <w:t>`margined_ee_profile`</w:t>
            </w:r>
          </w:p>
        </w:tc>
        <w:tc>
          <w:tcPr>
            <w:tcW w:type="dxa" w:w="4320"/>
          </w:tcPr>
          <w:p>
            <w:r>
              <w:t>E[net exposure after VM/IM], shape (T,)</w:t>
            </w:r>
          </w:p>
        </w:tc>
      </w:tr>
      <w:tr>
        <w:tc>
          <w:tcPr>
            <w:tcW w:type="dxa" w:w="4320"/>
          </w:tcPr>
          <w:p>
            <w:r>
              <w:t>`margined_eepe`</w:t>
            </w:r>
          </w:p>
        </w:tc>
        <w:tc>
          <w:tcPr>
            <w:tcW w:type="dxa" w:w="4320"/>
          </w:tcPr>
          <w:p>
            <w:r>
              <w:t>EEPE computed on margin-netted paths (CRE53 preferred)</w:t>
            </w:r>
          </w:p>
        </w:tc>
      </w:tr>
      <w:tr>
        <w:tc>
          <w:tcPr>
            <w:tcW w:type="dxa" w:w="4320"/>
          </w:tcPr>
          <w:p>
            <w:r>
              <w:t>`margined_ead`</w:t>
            </w:r>
          </w:p>
        </w:tc>
        <w:tc>
          <w:tcPr>
            <w:tcW w:type="dxa" w:w="4320"/>
          </w:tcPr>
          <w:p>
            <w:r>
              <w:t>α × margined_eepe</w:t>
            </w:r>
          </w:p>
        </w:tc>
      </w:tr>
      <w:tr>
        <w:tc>
          <w:tcPr>
            <w:tcW w:type="dxa" w:w="4320"/>
          </w:tcPr>
          <w:p>
            <w:r>
              <w:t>`margined_ead_stressed`</w:t>
            </w:r>
          </w:p>
        </w:tc>
        <w:tc>
          <w:tcPr>
            <w:tcW w:type="dxa" w:w="4320"/>
          </w:tcPr>
          <w:p>
            <w:r>
              <w:t>Stressed version of margined EAD</w:t>
            </w:r>
          </w:p>
        </w:tc>
      </w:tr>
      <w:tr>
        <w:tc>
          <w:tcPr>
            <w:tcW w:type="dxa" w:w="4320"/>
          </w:tcPr>
          <w:p>
            <w:r>
              <w:t>`collateral_paths`</w:t>
            </w:r>
          </w:p>
        </w:tc>
        <w:tc>
          <w:tcPr>
            <w:tcW w:type="dxa" w:w="4320"/>
          </w:tcPr>
          <w:p>
            <w:r>
              <w:t>Average VM + IM collateral profile shape (T,) for attribution</w:t>
            </w:r>
          </w:p>
        </w:tc>
      </w:tr>
    </w:tbl>
    <w:p>
      <w:pPr>
        <w:pStyle w:val="Heading3"/>
        <w:jc w:val="left"/>
      </w:pPr>
      <w:r>
        <w:t>8.6 New `run_for_portfolio()` Keys (Version 3.9)</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Key</w:t>
            </w:r>
          </w:p>
        </w:tc>
        <w:tc>
          <w:tcPr>
            <w:tcW w:type="dxa" w:w="4320"/>
          </w:tcPr>
          <w:p>
            <w:r>
              <w:rPr>
                <w:b/>
                <w:sz w:val="20"/>
              </w:rPr>
              <w:t>Description</w:t>
            </w:r>
          </w:p>
        </w:tc>
      </w:tr>
      <w:tr>
        <w:tc>
          <w:tcPr>
            <w:tcW w:type="dxa" w:w="4320"/>
          </w:tcPr>
          <w:p>
            <w:r>
              <w:t>`eepe_margined`</w:t>
            </w:r>
          </w:p>
        </w:tc>
        <w:tc>
          <w:tcPr>
            <w:tcW w:type="dxa" w:w="4320"/>
          </w:tcPr>
          <w:p>
            <w:r>
              <w:t>EEPE from path-level margined computation</w:t>
            </w:r>
          </w:p>
        </w:tc>
      </w:tr>
      <w:tr>
        <w:tc>
          <w:tcPr>
            <w:tcW w:type="dxa" w:w="4320"/>
          </w:tcPr>
          <w:p>
            <w:r>
              <w:t>`ead_margined`</w:t>
            </w:r>
          </w:p>
        </w:tc>
        <w:tc>
          <w:tcPr>
            <w:tcW w:type="dxa" w:w="4320"/>
          </w:tcPr>
          <w:p>
            <w:r>
              <w:t>α × eepe_margined (=ead_imm_csa when Tier 1 active)</w:t>
            </w:r>
          </w:p>
        </w:tc>
      </w:tr>
      <w:tr>
        <w:tc>
          <w:tcPr>
            <w:tcW w:type="dxa" w:w="4320"/>
          </w:tcPr>
          <w:p>
            <w:r>
              <w:t>`csa_method`</w:t>
            </w:r>
          </w:p>
        </w:tc>
        <w:tc>
          <w:tcPr>
            <w:tcW w:type="dxa" w:w="4320"/>
          </w:tcPr>
          <w:p>
            <w:r>
              <w:t>`CRE53-PATH-LEVEL` or `CRE53-APPROX-FALLBACK` or `NO_CSA`</w:t>
            </w:r>
          </w:p>
        </w:tc>
      </w:tr>
      <w:tr>
        <w:tc>
          <w:tcPr>
            <w:tcW w:type="dxa" w:w="4320"/>
          </w:tcPr>
          <w:p>
            <w:r>
              <w:t>`csa_reduction_pct`</w:t>
            </w:r>
          </w:p>
        </w:tc>
        <w:tc>
          <w:tcPr>
            <w:tcW w:type="dxa" w:w="4320"/>
          </w:tcPr>
          <w:p>
            <w:r>
              <w:t>% reduction in EAD from collateral (positive = beneficial)</w:t>
            </w:r>
          </w:p>
        </w:tc>
      </w:tr>
      <w:tr>
        <w:tc>
          <w:tcPr>
            <w:tcW w:type="dxa" w:w="4320"/>
          </w:tcPr>
          <w:p>
            <w:r>
              <w:t>`rc_csa`</w:t>
            </w:r>
          </w:p>
        </w:tc>
        <w:tc>
          <w:tcPr>
            <w:tcW w:type="dxa" w:w="4320"/>
          </w:tcPr>
          <w:p>
            <w:r>
              <w:t>Replacement Cost after VM/IM benefit (CRE52.18)</w:t>
            </w:r>
          </w:p>
        </w:tc>
      </w:tr>
    </w:tbl>
    <w:p>
      <w:pPr>
        <w:pStyle w:val="Heading3"/>
        <w:jc w:val="left"/>
      </w:pPr>
      <w:r>
        <w:t>8.7 Numeric Example — Path-Level vs Approximation (Version 3.9)</w:t>
      </w:r>
    </w:p>
    <w:p>
      <w:r>
        <w:t>3-trade portfolio: 5Y IRS ($50M), 1Y FX Forward ($30M), 3Y Equity Swap ($20M)</w:t>
      </w:r>
    </w:p>
    <w:p>
      <w:r>
        <w:t>CSA terms: TH = $500K, MTA = $100K, IM = $1.5M, MPOR = 10 days, haircut =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Method</w:t>
            </w:r>
          </w:p>
        </w:tc>
        <w:tc>
          <w:tcPr>
            <w:tcW w:type="dxa" w:w="1728"/>
          </w:tcPr>
          <w:p>
            <w:r>
              <w:rPr>
                <w:b/>
                <w:sz w:val="20"/>
              </w:rPr>
              <w:t>EEPE</w:t>
            </w:r>
          </w:p>
        </w:tc>
        <w:tc>
          <w:tcPr>
            <w:tcW w:type="dxa" w:w="1728"/>
          </w:tcPr>
          <w:p>
            <w:r>
              <w:rPr>
                <w:b/>
                <w:sz w:val="20"/>
              </w:rPr>
              <w:t>EAD</w:t>
            </w:r>
          </w:p>
        </w:tc>
        <w:tc>
          <w:tcPr>
            <w:tcW w:type="dxa" w:w="1728"/>
          </w:tcPr>
          <w:p>
            <w:r>
              <w:rPr>
                <w:b/>
                <w:sz w:val="20"/>
              </w:rPr>
              <w:t>EAD Reduction</w:t>
            </w:r>
          </w:p>
        </w:tc>
        <w:tc>
          <w:tcPr>
            <w:tcW w:type="dxa" w:w="1728"/>
          </w:tcPr>
          <w:p>
            <w:r>
              <w:rPr>
                <w:b/>
                <w:sz w:val="20"/>
              </w:rPr>
              <w:t>Trace</w:t>
            </w:r>
          </w:p>
        </w:tc>
      </w:tr>
      <w:tr>
        <w:tc>
          <w:tcPr>
            <w:tcW w:type="dxa" w:w="1728"/>
          </w:tcPr>
          <w:p>
            <w:r>
              <w:t>Gross (no CSA)</w:t>
            </w:r>
          </w:p>
        </w:tc>
        <w:tc>
          <w:tcPr>
            <w:tcW w:type="dxa" w:w="1728"/>
          </w:tcPr>
          <w:p>
            <w:r>
              <w:t>$1,621K</w:t>
            </w:r>
          </w:p>
        </w:tc>
        <w:tc>
          <w:tcPr>
            <w:tcW w:type="dxa" w:w="1728"/>
          </w:tcPr>
          <w:p>
            <w:r>
              <w:t>$2,269K</w:t>
            </w:r>
          </w:p>
        </w:tc>
        <w:tc>
          <w:tcPr>
            <w:tcW w:type="dxa" w:w="1728"/>
          </w:tcPr>
          <w:p>
            <w:r>
              <w:t>—</w:t>
            </w:r>
          </w:p>
        </w:tc>
        <w:tc>
          <w:tcPr>
            <w:tcW w:type="dxa" w:w="1728"/>
          </w:tcPr>
          <w:p>
            <w:r>
              <w:t>—</w:t>
            </w:r>
          </w:p>
        </w:tc>
      </w:tr>
      <w:tr>
        <w:tc>
          <w:tcPr>
            <w:tcW w:type="dxa" w:w="1728"/>
          </w:tcPr>
          <w:p>
            <w:r>
              <w:t>**Tier 1: Path-Level**</w:t>
            </w:r>
          </w:p>
        </w:tc>
        <w:tc>
          <w:tcPr>
            <w:tcW w:type="dxa" w:w="1728"/>
          </w:tcPr>
          <w:p>
            <w:r>
              <w:t>**$457K**</w:t>
            </w:r>
          </w:p>
        </w:tc>
        <w:tc>
          <w:tcPr>
            <w:tcW w:type="dxa" w:w="1728"/>
          </w:tcPr>
          <w:p>
            <w:r>
              <w:t>**$640K**</w:t>
            </w:r>
          </w:p>
        </w:tc>
        <w:tc>
          <w:tcPr>
            <w:tcW w:type="dxa" w:w="1728"/>
          </w:tcPr>
          <w:p>
            <w:r>
              <w:t>**71.8%**</w:t>
            </w:r>
          </w:p>
        </w:tc>
        <w:tc>
          <w:tcPr>
            <w:tcW w:type="dxa" w:w="1728"/>
          </w:tcPr>
          <w:p>
            <w:r>
              <w:t>`CRE53-PATH-LEVEL`</w:t>
            </w:r>
          </w:p>
        </w:tc>
      </w:tr>
      <w:tr>
        <w:tc>
          <w:tcPr>
            <w:tcW w:type="dxa" w:w="1728"/>
          </w:tcPr>
          <w:p>
            <w:r>
              <w:t>Tier 2: CRE53.22 Approx</w:t>
            </w:r>
          </w:p>
        </w:tc>
        <w:tc>
          <w:tcPr>
            <w:tcW w:type="dxa" w:w="1728"/>
          </w:tcPr>
          <w:p>
            <w:r>
              <w:t>$313K</w:t>
            </w:r>
          </w:p>
        </w:tc>
        <w:tc>
          <w:tcPr>
            <w:tcW w:type="dxa" w:w="1728"/>
          </w:tcPr>
          <w:p>
            <w:r>
              <w:t>$439K</w:t>
            </w:r>
          </w:p>
        </w:tc>
        <w:tc>
          <w:tcPr>
            <w:tcW w:type="dxa" w:w="1728"/>
          </w:tcPr>
          <w:p>
            <w:r>
              <w:t>80.6%</w:t>
            </w:r>
          </w:p>
        </w:tc>
        <w:tc>
          <w:tcPr>
            <w:tcW w:type="dxa" w:w="1728"/>
          </w:tcPr>
          <w:p>
            <w:r>
              <w:t>`CRE53-APPROX-FALLBACK`</w:t>
            </w:r>
          </w:p>
        </w:tc>
      </w:tr>
    </w:tbl>
    <w:p>
      <w:r>
        <w:t>The approximation over-reduces EAD by ~8 percentage points (produces a lower, more optimistic</w:t>
      </w:r>
    </w:p>
    <w:p>
      <w:r>
        <w:t>number than the path-level method). This is because it applies the √(MPOR/250) scaling uniformly</w:t>
      </w:r>
    </w:p>
    <w:p>
      <w:r>
        <w:t>without modelling the MPOR lag or threshold behaviour.</w:t>
      </w:r>
    </w:p>
    <w:p>
      <w:pPr>
        <w:pStyle w:val="Heading3"/>
        <w:jc w:val="left"/>
      </w:pPr>
      <w:r>
        <w:t>8.8 RC Benefit — Current Exposure (unchanged)</w:t>
      </w:r>
    </w:p>
    <w:p>
      <w:r>
        <w:t>The RC component of EAD_csa is the same in both tiers, mirroring CRE52.18:</w:t>
      </w:r>
    </w:p>
    <w:p>
      <w:pPr>
        <w:shd w:fill="F5F5F5"/>
      </w:pPr>
      <w:r>
        <w:rPr>
          <w:rFonts w:ascii="Courier New" w:hAnsi="Courier New"/>
          <w:color w:val="404040"/>
          <w:sz w:val="16"/>
        </w:rPr>
        <w:t>C      = VM + IM                         (total collateral received today)</w:t>
      </w:r>
    </w:p>
    <w:p>
      <w:pPr>
        <w:shd w:fill="F5F5F5"/>
      </w:pPr>
      <w:r>
        <w:rPr>
          <w:rFonts w:ascii="Courier New" w:hAnsi="Courier New"/>
          <w:color w:val="404040"/>
          <w:sz w:val="16"/>
        </w:rPr>
        <w:t>RC_csa = max(V − C,  TH + MTA − NICA,  0)</w:t>
      </w:r>
    </w:p>
    <w:p>
      <w:r>
        <w:t>Where `V` = current aggregate net MtM, `NICA` = IM received.</w:t>
      </w:r>
    </w:p>
    <w:p>
      <w:pPr>
        <w:pStyle w:val="Heading3"/>
        <w:jc w:val="left"/>
      </w:pPr>
      <w:r>
        <w:t>8.9 Standalone Margined EEPE (`simulate_margined_eepe`)</w:t>
      </w:r>
    </w:p>
    <w:p>
      <w:r>
        <w:t>For standalone margined EEPE computation (e.g. stress testing, what-if scenarios):</w:t>
      </w:r>
    </w:p>
    <w:p>
      <w:pPr>
        <w:shd w:fill="F5F5F5"/>
      </w:pPr>
      <w:r>
        <w:rPr>
          <w:rFonts w:ascii="Courier New" w:hAnsi="Courier New"/>
          <w:color w:val="404040"/>
          <w:sz w:val="16"/>
        </w:rPr>
        <w:t>m_profile = imm_engine.simulate_margined_eepe(trades, netting_set, stressed=False)</w:t>
      </w:r>
    </w:p>
    <w:p>
      <w:pPr>
        <w:shd w:fill="F5F5F5"/>
      </w:pPr>
      <w:r>
        <w:rPr>
          <w:rFonts w:ascii="Courier New" w:hAnsi="Courier New"/>
          <w:color w:val="404040"/>
          <w:sz w:val="16"/>
        </w:rPr>
        <w:t># Returns ExposureProfile with:</w:t>
      </w:r>
    </w:p>
    <w:p>
      <w:pPr>
        <w:shd w:fill="F5F5F5"/>
      </w:pPr>
      <w:r>
        <w:rPr>
          <w:rFonts w:ascii="Courier New" w:hAnsi="Courier New"/>
          <w:color w:val="404040"/>
          <w:sz w:val="16"/>
        </w:rPr>
        <w:t>#   m_profile.margined_eepe     — EEPE on margined paths</w:t>
      </w:r>
    </w:p>
    <w:p>
      <w:pPr>
        <w:shd w:fill="F5F5F5"/>
      </w:pPr>
      <w:r>
        <w:rPr>
          <w:rFonts w:ascii="Courier New" w:hAnsi="Courier New"/>
          <w:color w:val="404040"/>
          <w:sz w:val="16"/>
        </w:rPr>
        <w:t>#   m_profile.margined_ead      — α × margined_eepe</w:t>
      </w:r>
    </w:p>
    <w:p>
      <w:pPr>
        <w:shd w:fill="F5F5F5"/>
      </w:pPr>
      <w:r>
        <w:rPr>
          <w:rFonts w:ascii="Courier New" w:hAnsi="Courier New"/>
          <w:color w:val="404040"/>
          <w:sz w:val="16"/>
        </w:rPr>
        <w:t>#   m_profile.collateral_paths  — average VM+IM profile for attribution</w:t>
      </w:r>
    </w:p>
    <w:p>
      <w:r>
        <w:t>Also accepts `stressed=True` to run with GFC-calibrated volatilities, giving:</w:t>
      </w:r>
    </w:p>
    <w:p>
      <w:pPr>
        <w:shd w:fill="F5F5F5"/>
      </w:pPr>
      <w:r>
        <w:rPr>
          <w:rFonts w:ascii="Courier New" w:hAnsi="Courier New"/>
          <w:color w:val="404040"/>
          <w:sz w:val="16"/>
        </w:rPr>
        <w:t>EAD_margined_stressed = α × EEPE_margined_stressed</w:t>
      </w:r>
    </w:p>
    <w:p>
      <w:pPr>
        <w:pStyle w:val="Heading2"/>
        <w:jc w:val="left"/>
      </w:pPr>
      <w:r>
        <w:t>9. Credit Valuation Adjustment (CVA)</w:t>
      </w:r>
    </w:p>
    <w:p>
      <w:r>
        <w:t xml:space="preserve">CVA is the </w:t>
      </w:r>
      <w:r>
        <w:rPr>
          <w:b/>
        </w:rPr>
        <w:t>market value of counterparty credit risk</w:t>
      </w:r>
      <w:r>
        <w:t xml:space="preserve"> — the expected loss due to the counterparty defaulting before maturity.</w:t>
      </w:r>
    </w:p>
    <w:p>
      <w:pPr>
        <w:pStyle w:val="Heading3"/>
        <w:jc w:val="left"/>
      </w:pPr>
      <w:r>
        <w:t>9.1 Formula</w:t>
      </w:r>
    </w:p>
    <w:p>
      <w:pPr>
        <w:shd w:fill="F5F5F5"/>
      </w:pPr>
      <w:r>
        <w:rPr>
          <w:rFonts w:ascii="Courier New" w:hAnsi="Courier New"/>
          <w:color w:val="404040"/>
          <w:sz w:val="16"/>
        </w:rPr>
        <w:t>CVA = ∫₀ᵀ (1 − RR) × EE(t) × dQ(t) × D(t)</w:t>
      </w:r>
    </w:p>
    <w:p>
      <w:r>
        <w:rPr>
          <w:b/>
        </w:rPr>
        <w:t>Discretised (trapezoidal integration):</w:t>
      </w:r>
    </w:p>
    <w:p>
      <w:pPr>
        <w:shd w:fill="F5F5F5"/>
      </w:pPr>
      <w:r>
        <w:rPr>
          <w:rFonts w:ascii="Courier New" w:hAnsi="Courier New"/>
          <w:color w:val="404040"/>
          <w:sz w:val="16"/>
        </w:rPr>
        <w:t>CVA = Σₜ (1 − RR) × EE_mid(t) × PD(t) × D(t)</w:t>
      </w:r>
    </w:p>
    <w:p>
      <w:r>
        <w:t>Where:</w:t>
      </w:r>
    </w:p>
    <w:p>
      <w:pPr>
        <w:pStyle w:val="ListBullet"/>
      </w:pPr>
      <w:r>
        <w:t>`RR` = recovery rate = **40%** (Basel standard)</w:t>
      </w:r>
    </w:p>
    <w:p>
      <w:pPr>
        <w:pStyle w:val="ListBullet"/>
      </w:pPr>
      <w:r>
        <w:t>`EE_mid(t)` = (EE(t) + EE(t+1)) / 2 (midpoint approximation)</w:t>
      </w:r>
    </w:p>
    <w:p>
      <w:pPr>
        <w:pStyle w:val="ListBullet"/>
      </w:pPr>
      <w:r>
        <w:t>`PD(t)` = probability of default over [t, t+dt] = 1 − exp(−λ × dt)</w:t>
      </w:r>
    </w:p>
    <w:p>
      <w:pPr>
        <w:pStyle w:val="ListBullet"/>
      </w:pPr>
      <w:r>
        <w:t>`λ` = hazard rate = CDS spread / (1 − RR)</w:t>
      </w:r>
    </w:p>
    <w:p>
      <w:pPr>
        <w:pStyle w:val="ListBullet"/>
      </w:pPr>
      <w:r>
        <w:t>`D(t)` = discount factor = exp(−r × t) with r = 3%</w:t>
      </w:r>
    </w:p>
    <w:p>
      <w:pPr>
        <w:pStyle w:val="ListBullet"/>
      </w:pPr>
      <w:r>
        <w:t>`CDS spread` = credit default swap spread for the counterparty (default: 50bp)</w:t>
      </w:r>
    </w:p>
    <w:p>
      <w:pPr>
        <w:pStyle w:val="Heading3"/>
        <w:jc w:val="left"/>
      </w:pPr>
      <w:r>
        <w:t>9.2 Interpretation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CVA Value</w:t>
            </w:r>
          </w:p>
        </w:tc>
        <w:tc>
          <w:tcPr>
            <w:tcW w:type="dxa" w:w="4320"/>
          </w:tcPr>
          <w:p>
            <w:r>
              <w:rPr>
                <w:b/>
                <w:sz w:val="20"/>
              </w:rPr>
              <w:t>Meaning</w:t>
            </w:r>
          </w:p>
        </w:tc>
      </w:tr>
      <w:tr>
        <w:tc>
          <w:tcPr>
            <w:tcW w:type="dxa" w:w="4320"/>
          </w:tcPr>
          <w:p>
            <w:r>
              <w:t>Higher CVA</w:t>
            </w:r>
          </w:p>
        </w:tc>
        <w:tc>
          <w:tcPr>
            <w:tcW w:type="dxa" w:w="4320"/>
          </w:tcPr>
          <w:p>
            <w:r>
              <w:t>Counterparty is riskier (wider CDS) or exposure is larger</w:t>
            </w:r>
          </w:p>
        </w:tc>
      </w:tr>
      <w:tr>
        <w:tc>
          <w:tcPr>
            <w:tcW w:type="dxa" w:w="4320"/>
          </w:tcPr>
          <w:p>
            <w:r>
              <w:t>CVA = 0</w:t>
            </w:r>
          </w:p>
        </w:tc>
        <w:tc>
          <w:tcPr>
            <w:tcW w:type="dxa" w:w="4320"/>
          </w:tcPr>
          <w:p>
            <w:r>
              <w:t>Perfectly safe counterparty (zero default probability)</w:t>
            </w:r>
          </w:p>
        </w:tc>
      </w:tr>
    </w:tbl>
    <w:p>
      <w:r>
        <w:t>CVA represents the upfront cost that should be charged to a counterparty for bearing their credit risk. A CRO would see this as the "fair-value haircut" on the trade portfolio.</w:t>
      </w:r>
    </w:p>
    <w:p>
      <w:pPr>
        <w:pStyle w:val="Heading2"/>
        <w:jc w:val="left"/>
      </w:pPr>
      <w:r>
        <w:t>10. Dynamic Initial Margin (DIM)</w:t>
      </w:r>
    </w:p>
    <w:p>
      <w:r>
        <w:t xml:space="preserve">DIM captures the </w:t>
      </w:r>
      <w:r>
        <w:rPr>
          <w:b/>
        </w:rPr>
        <w:t>tail risk beyond EEPE</w:t>
      </w:r>
      <w:r>
        <w:t xml:space="preserve"> that might be required as initial margin under bilateral margin rules (BCBS-IOSCO UMR framework).</w:t>
      </w:r>
    </w:p>
    <w:p>
      <w:pPr>
        <w:pStyle w:val="Heading3"/>
        <w:jc w:val="left"/>
      </w:pPr>
      <w:r>
        <w:t>10.1 Formula</w:t>
      </w:r>
    </w:p>
    <w:p>
      <w:pPr>
        <w:shd w:fill="F5F5F5"/>
      </w:pPr>
      <w:r>
        <w:rPr>
          <w:rFonts w:ascii="Courier New" w:hAnsi="Courier New"/>
          <w:color w:val="404040"/>
          <w:sz w:val="16"/>
        </w:rPr>
        <w:t>DIM = max(0, (ES₉₇.₅ − EEPE) / α)</w:t>
      </w:r>
    </w:p>
    <w:p>
      <w:r>
        <w:t>Where:</w:t>
      </w:r>
    </w:p>
    <w:p>
      <w:pPr>
        <w:pStyle w:val="ListBullet"/>
      </w:pPr>
      <w:r>
        <w:t>`ES₉₇.₅` = Expected Shortfall at 97.5% confidence (approximated by PFE_95)</w:t>
      </w:r>
    </w:p>
    <w:p>
      <w:pPr>
        <w:pStyle w:val="ListBullet"/>
      </w:pPr>
      <w:r>
        <w:t>`α` = 1.4 (regulatory alpha)</w:t>
      </w:r>
    </w:p>
    <w:p>
      <w:pPr>
        <w:pStyle w:val="ListBullet"/>
      </w:pPr>
      <w:r>
        <w:t>Floored at zero (DIM cannot be negative)</w:t>
      </w:r>
    </w:p>
    <w:p>
      <w:pPr>
        <w:pStyle w:val="Heading3"/>
        <w:jc w:val="left"/>
      </w:pPr>
      <w:r>
        <w:t>10.2 Intuition</w:t>
      </w:r>
    </w:p>
    <w:p>
      <w:pPr>
        <w:pStyle w:val="ListBullet"/>
      </w:pPr>
      <w:r>
        <w:t>If ES ≈ EEPE, DIM ≈ 0 — the tail is not much worse than the average (well-behaved distribution)</w:t>
      </w:r>
    </w:p>
    <w:p>
      <w:pPr>
        <w:pStyle w:val="ListBullet"/>
      </w:pPr>
      <w:r>
        <w:t>If ES &gt;&gt; EEPE, DIM &gt; 0 — the tail is "fat", requiring extra margin protection</w:t>
      </w:r>
    </w:p>
    <w:p>
      <w:pPr>
        <w:pStyle w:val="Heading2"/>
        <w:jc w:val="left"/>
      </w:pPr>
      <w:r>
        <w:t>11. FRTB Counterparty Risk Add-On</w:t>
      </w:r>
    </w:p>
    <w:p>
      <w:r>
        <w:t xml:space="preserve">A simplified add-on for </w:t>
      </w:r>
      <w:r>
        <w:rPr>
          <w:b/>
        </w:rPr>
        <w:t>Fundamental Review of the Trading Book (FRTB)</w:t>
      </w:r>
      <w:r>
        <w:t xml:space="preserve"> counterparty risk:</w:t>
      </w:r>
    </w:p>
    <w:p>
      <w:pPr>
        <w:shd w:fill="F5F5F5"/>
      </w:pPr>
      <w:r>
        <w:rPr>
          <w:rFonts w:ascii="Courier New" w:hAnsi="Courier New"/>
          <w:color w:val="404040"/>
          <w:sz w:val="16"/>
        </w:rPr>
        <w:t>FRTB_addon = 0.15 × Notional_total × √(EEPE / Notional_total)</w:t>
      </w:r>
    </w:p>
    <w:p>
      <w:pPr>
        <w:shd w:fill="F5F5F5"/>
      </w:pPr>
      <w:r>
        <w:rPr>
          <w:rFonts w:ascii="Courier New" w:hAnsi="Courier New"/>
          <w:color w:val="404040"/>
          <w:sz w:val="16"/>
        </w:rPr>
        <w:t xml:space="preserve">           = 0.15 × √(EEPE × Notional_total)</w:t>
      </w:r>
    </w:p>
    <w:p>
      <w:r>
        <w:t>This captures that the FRTB CCR risk scales with both the notional size (portfolio risk) and the relative exposure intensity (EEPE / notional).</w:t>
      </w:r>
    </w:p>
    <w:p>
      <w:pPr>
        <w:pStyle w:val="Heading2"/>
        <w:jc w:val="left"/>
      </w:pPr>
      <w:r>
        <w:t>12. Sensitivity Analysis — Greeks</w:t>
      </w:r>
    </w:p>
    <w:p>
      <w:r>
        <w:t xml:space="preserve">The engine computes first-order sensitivities of EAD to market parameters using </w:t>
      </w:r>
      <w:r>
        <w:rPr>
          <w:b/>
        </w:rPr>
        <w:t>central finite differences</w:t>
      </w:r>
      <w:r>
        <w:t>:</w:t>
      </w:r>
    </w:p>
    <w:p>
      <w:pPr>
        <w:shd w:fill="F5F5F5"/>
      </w:pPr>
      <w:r>
        <w:rPr>
          <w:rFonts w:ascii="Courier New" w:hAnsi="Courier New"/>
          <w:color w:val="404040"/>
          <w:sz w:val="16"/>
        </w:rPr>
        <w:t>∂EAD/∂x ≈ [EAD(x + ε) − EAD(x − ε)] / (2ε)</w:t>
      </w:r>
    </w:p>
    <w:p>
      <w:r>
        <w:t>A new Monte Carlo engine is spun up for each bump, recalculating the full EEPE with the perturbed parameter.</w:t>
      </w:r>
    </w:p>
    <w:p>
      <w:pPr>
        <w:pStyle w:val="Heading3"/>
        <w:jc w:val="left"/>
      </w:pPr>
      <w:r>
        <w:t>12.1 Vega — Equity (∂EAD/∂σ_EQ)</w:t>
      </w:r>
    </w:p>
    <w:p>
      <w:pPr>
        <w:shd w:fill="F5F5F5"/>
      </w:pPr>
      <w:r>
        <w:rPr>
          <w:rFonts w:ascii="Courier New" w:hAnsi="Courier New"/>
          <w:color w:val="404040"/>
          <w:sz w:val="16"/>
        </w:rPr>
        <w:t>Bump size: ε = 1% (0.01)</w:t>
      </w:r>
    </w:p>
    <w:p>
      <w:pPr>
        <w:shd w:fill="F5F5F5"/>
      </w:pPr>
      <w:r>
        <w:rPr>
          <w:rFonts w:ascii="Courier New" w:hAnsi="Courier New"/>
          <w:color w:val="404040"/>
          <w:sz w:val="16"/>
        </w:rPr>
        <w:t>Interpretation: change in EAD for a 1% increase in equity volatility</w:t>
      </w:r>
    </w:p>
    <w:p>
      <w:r>
        <w:t>A large positive vega_equity means the portfolio EAD is highly sensitive to equity vol spikes — a warning sign under stress scenarios.</w:t>
      </w:r>
    </w:p>
    <w:p>
      <w:pPr>
        <w:pStyle w:val="Heading3"/>
        <w:jc w:val="left"/>
      </w:pPr>
      <w:r>
        <w:t>12.2 Vega — Interest Rate (∂EAD/∂σ_IR)</w:t>
      </w:r>
    </w:p>
    <w:p>
      <w:pPr>
        <w:shd w:fill="F5F5F5"/>
      </w:pPr>
      <w:r>
        <w:rPr>
          <w:rFonts w:ascii="Courier New" w:hAnsi="Courier New"/>
          <w:color w:val="404040"/>
          <w:sz w:val="16"/>
        </w:rPr>
        <w:t>Bump size: ε = 0.1% (0.001)</w:t>
      </w:r>
    </w:p>
    <w:p>
      <w:pPr>
        <w:shd w:fill="F5F5F5"/>
      </w:pPr>
      <w:r>
        <w:rPr>
          <w:rFonts w:ascii="Courier New" w:hAnsi="Courier New"/>
          <w:color w:val="404040"/>
          <w:sz w:val="16"/>
        </w:rPr>
        <w:t>Interpretation: change in EAD for a 10bp increase in IR volatility</w:t>
      </w:r>
    </w:p>
    <w:p>
      <w:pPr>
        <w:pStyle w:val="Heading3"/>
        <w:jc w:val="left"/>
      </w:pPr>
      <w:r>
        <w:t>12.3 Vega — Credit (∂EAD/∂ρ_CR)</w:t>
      </w:r>
    </w:p>
    <w:p>
      <w:r>
        <w:t>Measured via bumping the credit factor row/column in the correlation matrix:</w:t>
      </w:r>
    </w:p>
    <w:p>
      <w:pPr>
        <w:shd w:fill="F5F5F5"/>
      </w:pPr>
      <w:r>
        <w:rPr>
          <w:rFonts w:ascii="Courier New" w:hAnsi="Courier New"/>
          <w:color w:val="404040"/>
          <w:sz w:val="16"/>
        </w:rPr>
        <w:t>Bump size: 5% correlation point change on CR index (row/col 3)</w:t>
      </w:r>
    </w:p>
    <w:p>
      <w:pPr>
        <w:pStyle w:val="Heading3"/>
        <w:jc w:val="left"/>
      </w:pPr>
      <w:r>
        <w:t>12.4 Rho — Rate Level Sensitivity (∂EAD/∂r)</w:t>
      </w:r>
    </w:p>
    <w:p>
      <w:pPr>
        <w:shd w:fill="F5F5F5"/>
      </w:pPr>
      <w:r>
        <w:rPr>
          <w:rFonts w:ascii="Courier New" w:hAnsi="Courier New"/>
          <w:color w:val="404040"/>
          <w:sz w:val="16"/>
        </w:rPr>
        <w:t>Bump size: ±25bp (0.0025)</w:t>
      </w:r>
    </w:p>
    <w:p>
      <w:pPr>
        <w:shd w:fill="F5F5F5"/>
      </w:pPr>
      <w:r>
        <w:rPr>
          <w:rFonts w:ascii="Courier New" w:hAnsi="Courier New"/>
          <w:color w:val="404040"/>
          <w:sz w:val="16"/>
        </w:rPr>
        <w:t>Interpretation: change in EAD for a 25bp parallel shift in rates (via drift μ)</w:t>
      </w:r>
    </w:p>
    <w:p>
      <w:r>
        <w:t>A negative rho means EAD falls when rates rise — common for pay-fixed IR portfolios.</w:t>
      </w:r>
    </w:p>
    <w:p>
      <w:pPr>
        <w:pStyle w:val="Heading3"/>
        <w:jc w:val="left"/>
      </w:pPr>
      <w:r>
        <w:t>12.5 Lambda — Market Factor Correlation (∂EAD/∂ρ_MKT)</w:t>
      </w:r>
    </w:p>
    <w:p>
      <w:pPr>
        <w:shd w:fill="F5F5F5"/>
      </w:pPr>
      <w:r>
        <w:rPr>
          <w:rFonts w:ascii="Courier New" w:hAnsi="Courier New"/>
          <w:color w:val="404040"/>
          <w:sz w:val="16"/>
        </w:rPr>
        <w:t>Bump size: 5% correlation point change on market factor (row/col 5)</w:t>
      </w:r>
    </w:p>
    <w:p>
      <w:pPr>
        <w:shd w:fill="F5F5F5"/>
      </w:pPr>
      <w:r>
        <w:rPr>
          <w:rFonts w:ascii="Courier New" w:hAnsi="Courier New"/>
          <w:color w:val="404040"/>
          <w:sz w:val="16"/>
        </w:rPr>
        <w:t>Interpretation: sensitivity to systemic correlation increases (crisis scenario)</w:t>
      </w:r>
    </w:p>
    <w:p>
      <w:r>
        <w:t>Large positive lambda indicates concentration risk — the portfolio would underperform significantly in a systemic stress event.</w:t>
      </w:r>
    </w:p>
    <w:p>
      <w:pPr>
        <w:pStyle w:val="Heading3"/>
        <w:jc w:val="left"/>
      </w:pPr>
      <w:r>
        <w:t>12.6 All Greeks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Greek</w:t>
            </w:r>
          </w:p>
        </w:tc>
        <w:tc>
          <w:tcPr>
            <w:tcW w:type="dxa" w:w="2160"/>
          </w:tcPr>
          <w:p>
            <w:r>
              <w:rPr>
                <w:b/>
                <w:sz w:val="20"/>
              </w:rPr>
              <w:t>Formula</w:t>
            </w:r>
          </w:p>
        </w:tc>
        <w:tc>
          <w:tcPr>
            <w:tcW w:type="dxa" w:w="2160"/>
          </w:tcPr>
          <w:p>
            <w:r>
              <w:rPr>
                <w:b/>
                <w:sz w:val="20"/>
              </w:rPr>
              <w:t>Bump</w:t>
            </w:r>
          </w:p>
        </w:tc>
        <w:tc>
          <w:tcPr>
            <w:tcW w:type="dxa" w:w="2160"/>
          </w:tcPr>
          <w:p>
            <w:r>
              <w:rPr>
                <w:b/>
                <w:sz w:val="20"/>
              </w:rPr>
              <w:t>Regulatory Use</w:t>
            </w:r>
          </w:p>
        </w:tc>
      </w:tr>
      <w:tr>
        <w:tc>
          <w:tcPr>
            <w:tcW w:type="dxa" w:w="2160"/>
          </w:tcPr>
          <w:p>
            <w:r>
              <w:t>`vega_equity`</w:t>
            </w:r>
          </w:p>
        </w:tc>
        <w:tc>
          <w:tcPr>
            <w:tcW w:type="dxa" w:w="2160"/>
          </w:tcPr>
          <w:p>
            <w:r>
              <w:t>∂EAD/∂σ_EQ</w:t>
            </w:r>
          </w:p>
        </w:tc>
        <w:tc>
          <w:tcPr>
            <w:tcW w:type="dxa" w:w="2160"/>
          </w:tcPr>
          <w:p>
            <w:r>
              <w:t>1% vol</w:t>
            </w:r>
          </w:p>
        </w:tc>
        <w:tc>
          <w:tcPr>
            <w:tcW w:type="dxa" w:w="2160"/>
          </w:tcPr>
          <w:p>
            <w:r>
              <w:t>FRTB SA sensitivity</w:t>
            </w:r>
          </w:p>
        </w:tc>
      </w:tr>
      <w:tr>
        <w:tc>
          <w:tcPr>
            <w:tcW w:type="dxa" w:w="2160"/>
          </w:tcPr>
          <w:p>
            <w:r>
              <w:t>`vega_ir`</w:t>
            </w:r>
          </w:p>
        </w:tc>
        <w:tc>
          <w:tcPr>
            <w:tcW w:type="dxa" w:w="2160"/>
          </w:tcPr>
          <w:p>
            <w:r>
              <w:t>∂EAD/∂σ_IR</w:t>
            </w:r>
          </w:p>
        </w:tc>
        <w:tc>
          <w:tcPr>
            <w:tcW w:type="dxa" w:w="2160"/>
          </w:tcPr>
          <w:p>
            <w:r>
              <w:t>10bp vol</w:t>
            </w:r>
          </w:p>
        </w:tc>
        <w:tc>
          <w:tcPr>
            <w:tcW w:type="dxa" w:w="2160"/>
          </w:tcPr>
          <w:p>
            <w:r>
              <w:t>FRTB SA sensitivity</w:t>
            </w:r>
          </w:p>
        </w:tc>
      </w:tr>
      <w:tr>
        <w:tc>
          <w:tcPr>
            <w:tcW w:type="dxa" w:w="2160"/>
          </w:tcPr>
          <w:p>
            <w:r>
              <w:t>`vega_credit`</w:t>
            </w:r>
          </w:p>
        </w:tc>
        <w:tc>
          <w:tcPr>
            <w:tcW w:type="dxa" w:w="2160"/>
          </w:tcPr>
          <w:p>
            <w:r>
              <w:t>∂EAD/∂ρ_CR</w:t>
            </w:r>
          </w:p>
        </w:tc>
        <w:tc>
          <w:tcPr>
            <w:tcW w:type="dxa" w:w="2160"/>
          </w:tcPr>
          <w:p>
            <w:r>
              <w:t>5% corr</w:t>
            </w:r>
          </w:p>
        </w:tc>
        <w:tc>
          <w:tcPr>
            <w:tcW w:type="dxa" w:w="2160"/>
          </w:tcPr>
          <w:p>
            <w:r>
              <w:t>CVA sensitivity</w:t>
            </w:r>
          </w:p>
        </w:tc>
      </w:tr>
      <w:tr>
        <w:tc>
          <w:tcPr>
            <w:tcW w:type="dxa" w:w="2160"/>
          </w:tcPr>
          <w:p>
            <w:r>
              <w:t>`rho`</w:t>
            </w:r>
          </w:p>
        </w:tc>
        <w:tc>
          <w:tcPr>
            <w:tcW w:type="dxa" w:w="2160"/>
          </w:tcPr>
          <w:p>
            <w:r>
              <w:t>∂EAD/∂r</w:t>
            </w:r>
          </w:p>
        </w:tc>
        <w:tc>
          <w:tcPr>
            <w:tcW w:type="dxa" w:w="2160"/>
          </w:tcPr>
          <w:p>
            <w:r>
              <w:t>25bp</w:t>
            </w:r>
          </w:p>
        </w:tc>
        <w:tc>
          <w:tcPr>
            <w:tcW w:type="dxa" w:w="2160"/>
          </w:tcPr>
          <w:p>
            <w:r>
              <w:t>IR risk</w:t>
            </w:r>
          </w:p>
        </w:tc>
      </w:tr>
      <w:tr>
        <w:tc>
          <w:tcPr>
            <w:tcW w:type="dxa" w:w="2160"/>
          </w:tcPr>
          <w:p>
            <w:r>
              <w:t>`lambda_corr`</w:t>
            </w:r>
          </w:p>
        </w:tc>
        <w:tc>
          <w:tcPr>
            <w:tcW w:type="dxa" w:w="2160"/>
          </w:tcPr>
          <w:p>
            <w:r>
              <w:t>∂EAD/∂ρ_MKT</w:t>
            </w:r>
          </w:p>
        </w:tc>
        <w:tc>
          <w:tcPr>
            <w:tcW w:type="dxa" w:w="2160"/>
          </w:tcPr>
          <w:p>
            <w:r>
              <w:t>5% corr</w:t>
            </w:r>
          </w:p>
        </w:tc>
        <w:tc>
          <w:tcPr>
            <w:tcW w:type="dxa" w:w="2160"/>
          </w:tcPr>
          <w:p>
            <w:r>
              <w:t>Wrong-way risk indicator</w:t>
            </w:r>
          </w:p>
        </w:tc>
      </w:tr>
      <w:tr>
        <w:tc>
          <w:tcPr>
            <w:tcW w:type="dxa" w:w="2160"/>
          </w:tcPr>
          <w:p>
            <w:r>
              <w:t>`vega_stress`</w:t>
            </w:r>
          </w:p>
        </w:tc>
        <w:tc>
          <w:tcPr>
            <w:tcW w:type="dxa" w:w="2160"/>
          </w:tcPr>
          <w:p>
            <w:r>
              <w:t>∂EAD/∂σ (large)</w:t>
            </w:r>
          </w:p>
        </w:tc>
        <w:tc>
          <w:tcPr>
            <w:tcW w:type="dxa" w:w="2160"/>
          </w:tcPr>
          <w:p>
            <w:r>
              <w:t>5% vol</w:t>
            </w:r>
          </w:p>
        </w:tc>
        <w:tc>
          <w:tcPr>
            <w:tcW w:type="dxa" w:w="2160"/>
          </w:tcPr>
          <w:p>
            <w:r>
              <w:t>Stress calibration sensitivity</w:t>
            </w:r>
          </w:p>
        </w:tc>
      </w:tr>
      <w:tr>
        <w:tc>
          <w:tcPr>
            <w:tcW w:type="dxa" w:w="2160"/>
          </w:tcPr>
          <w:p>
            <w:r>
              <w:t>`volga`</w:t>
            </w:r>
          </w:p>
        </w:tc>
        <w:tc>
          <w:tcPr>
            <w:tcW w:type="dxa" w:w="2160"/>
          </w:tcPr>
          <w:p>
            <w:r>
              <w:t>∂²EAD/∂σ²</w:t>
            </w:r>
          </w:p>
        </w:tc>
        <w:tc>
          <w:tcPr>
            <w:tcW w:type="dxa" w:w="2160"/>
          </w:tcPr>
          <w:p>
            <w:r>
              <w:t>—</w:t>
            </w:r>
          </w:p>
        </w:tc>
        <w:tc>
          <w:tcPr>
            <w:tcW w:type="dxa" w:w="2160"/>
          </w:tcPr>
          <w:p>
            <w:r>
              <w:t>(Reserved — second-order)</w:t>
            </w:r>
          </w:p>
        </w:tc>
      </w:tr>
      <w:tr>
        <w:tc>
          <w:tcPr>
            <w:tcW w:type="dxa" w:w="2160"/>
          </w:tcPr>
          <w:p>
            <w:r>
              <w:t>`vanna`</w:t>
            </w:r>
          </w:p>
        </w:tc>
        <w:tc>
          <w:tcPr>
            <w:tcW w:type="dxa" w:w="2160"/>
          </w:tcPr>
          <w:p>
            <w:r>
              <w:t>∂²EAD/∂σ∂r</w:t>
            </w:r>
          </w:p>
        </w:tc>
        <w:tc>
          <w:tcPr>
            <w:tcW w:type="dxa" w:w="2160"/>
          </w:tcPr>
          <w:p>
            <w:r>
              <w:t>—</w:t>
            </w:r>
          </w:p>
        </w:tc>
        <w:tc>
          <w:tcPr>
            <w:tcW w:type="dxa" w:w="2160"/>
          </w:tcPr>
          <w:p>
            <w:r>
              <w:t>(Reserved — second-order)</w:t>
            </w:r>
          </w:p>
        </w:tc>
      </w:tr>
    </w:tbl>
    <w:p>
      <w:pPr>
        <w:pStyle w:val="Heading2"/>
        <w:jc w:val="left"/>
      </w:pPr>
      <w:r>
        <w:t>13. Incremental &amp; Marginal Risk</w:t>
      </w:r>
    </w:p>
    <w:p>
      <w:pPr>
        <w:pStyle w:val="Heading3"/>
        <w:jc w:val="left"/>
      </w:pPr>
      <w:r>
        <w:t>13.1 Marginal EAD per Trade</w:t>
      </w:r>
    </w:p>
    <w:p>
      <w:r>
        <w:t>The change in total portfolio EAD when a single trade is removed:</w:t>
      </w:r>
    </w:p>
    <w:p>
      <w:pPr>
        <w:shd w:fill="F5F5F5"/>
      </w:pPr>
      <w:r>
        <w:rPr>
          <w:rFonts w:ascii="Courier New" w:hAnsi="Courier New"/>
          <w:color w:val="404040"/>
          <w:sz w:val="16"/>
        </w:rPr>
        <w:t>Marginal EAD(trade i) = EAD(full portfolio) − EAD(portfolio without trade i)</w:t>
      </w:r>
    </w:p>
    <w:p>
      <w:r>
        <w:t xml:space="preserve">This measures the </w:t>
      </w:r>
      <w:r>
        <w:rPr>
          <w:b/>
        </w:rPr>
        <w:t>diversification benefit or concentration risk</w:t>
      </w:r>
      <w:r>
        <w:t xml:space="preserve"> of each trade.</w:t>
      </w:r>
    </w:p>
    <w:p>
      <w:pPr>
        <w:pStyle w:val="ListBullet"/>
      </w:pPr>
      <w:r>
        <w:t>A large positive marginal EAD → trade adds significant risk (consider netting, collateral, or termination)</w:t>
      </w:r>
    </w:p>
    <w:p>
      <w:pPr>
        <w:pStyle w:val="ListBullet"/>
      </w:pPr>
      <w:r>
        <w:t>A negative marginal EAD → trade **reduces** portfolio EAD (natural hedge — keep it!)</w:t>
      </w:r>
    </w:p>
    <w:p>
      <w:pPr>
        <w:pStyle w:val="Heading3"/>
        <w:jc w:val="left"/>
      </w:pPr>
      <w:r>
        <w:t>13.2 Component Contribution by Asset Class</w:t>
      </w:r>
    </w:p>
    <w:p>
      <w:r>
        <w:t>Trades are grouped by `asset_class` and an isolated EAD is computed for each group:</w:t>
      </w:r>
    </w:p>
    <w:p>
      <w:pPr>
        <w:shd w:fill="F5F5F5"/>
      </w:pPr>
      <w:r>
        <w:rPr>
          <w:rFonts w:ascii="Courier New" w:hAnsi="Courier New"/>
          <w:color w:val="404040"/>
          <w:sz w:val="16"/>
        </w:rPr>
        <w:t>EAD_contribution(EQ) = EAD(only EQ trades) / EAD(full portfolio) × 100%</w:t>
      </w:r>
    </w:p>
    <w:p>
      <w:r>
        <w:t>This identifies which asset class drives counterparty risk concentration.</w:t>
      </w:r>
    </w:p>
    <w:p>
      <w:pPr>
        <w:pStyle w:val="Heading3"/>
        <w:jc w:val="left"/>
      </w:pPr>
      <w:r>
        <w:t>13.3 Trade Ranking</w:t>
      </w:r>
    </w:p>
    <w:p>
      <w:r>
        <w:t>Trades are ranked in descending order by marginal EAD. The top-ranked trade has the most systemic counterparty risk impact and should be prioritised for collateral negotiation or novation.</w:t>
      </w:r>
    </w:p>
    <w:p>
      <w:pPr>
        <w:pStyle w:val="Heading2"/>
        <w:jc w:val="left"/>
      </w:pPr>
      <w:r>
        <w:t>14. Stress Test Scenarios</w:t>
      </w:r>
    </w:p>
    <w:p>
      <w:r>
        <w:t>Six regulatory-aligned scenarios are pre-defined: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Shock</w:t>
            </w:r>
          </w:p>
        </w:tc>
        <w:tc>
          <w:tcPr>
            <w:tcW w:type="dxa" w:w="2880"/>
          </w:tcPr>
          <w:p>
            <w:r>
              <w:rPr>
                <w:b/>
                <w:sz w:val="20"/>
              </w:rPr>
              <w:t>Description</w:t>
            </w:r>
          </w:p>
        </w:tc>
      </w:tr>
      <w:tr>
        <w:tc>
          <w:tcPr>
            <w:tcW w:type="dxa" w:w="2880"/>
          </w:tcPr>
          <w:p>
            <w:r>
              <w:t>`normal`</w:t>
            </w:r>
          </w:p>
        </w:tc>
        <w:tc>
          <w:tcPr>
            <w:tcW w:type="dxa" w:w="2880"/>
          </w:tcPr>
          <w:p>
            <w:r>
              <w:t>None</w:t>
            </w:r>
          </w:p>
        </w:tc>
        <w:tc>
          <w:tcPr>
            <w:tcW w:type="dxa" w:w="2880"/>
          </w:tcPr>
          <w:p>
            <w:r>
              <w:t>Base calibration (current market)</w:t>
            </w:r>
          </w:p>
        </w:tc>
      </w:tr>
      <w:tr>
        <w:tc>
          <w:tcPr>
            <w:tcW w:type="dxa" w:w="2880"/>
          </w:tcPr>
          <w:p>
            <w:r>
              <w:t>`rates_up_100bp`</w:t>
            </w:r>
          </w:p>
        </w:tc>
        <w:tc>
          <w:tcPr>
            <w:tcW w:type="dxa" w:w="2880"/>
          </w:tcPr>
          <w:p>
            <w:r>
              <w:t>IR +100bp parallel</w:t>
            </w:r>
          </w:p>
        </w:tc>
        <w:tc>
          <w:tcPr>
            <w:tcW w:type="dxa" w:w="2880"/>
          </w:tcPr>
          <w:p>
            <w:r>
              <w:t>Rapid monetary tightening</w:t>
            </w:r>
          </w:p>
        </w:tc>
      </w:tr>
      <w:tr>
        <w:tc>
          <w:tcPr>
            <w:tcW w:type="dxa" w:w="2880"/>
          </w:tcPr>
          <w:p>
            <w:r>
              <w:t>`rates_down_100bp`</w:t>
            </w:r>
          </w:p>
        </w:tc>
        <w:tc>
          <w:tcPr>
            <w:tcW w:type="dxa" w:w="2880"/>
          </w:tcPr>
          <w:p>
            <w:r>
              <w:t>IR −100bp parallel</w:t>
            </w:r>
          </w:p>
        </w:tc>
        <w:tc>
          <w:tcPr>
            <w:tcW w:type="dxa" w:w="2880"/>
          </w:tcPr>
          <w:p>
            <w:r>
              <w:t>Emergency rate cut (ZIRP shock)</w:t>
            </w:r>
          </w:p>
        </w:tc>
      </w:tr>
      <w:tr>
        <w:tc>
          <w:tcPr>
            <w:tcW w:type="dxa" w:w="2880"/>
          </w:tcPr>
          <w:p>
            <w:r>
              <w:t>`curve_steepening`</w:t>
            </w:r>
          </w:p>
        </w:tc>
        <w:tc>
          <w:tcPr>
            <w:tcW w:type="dxa" w:w="2880"/>
          </w:tcPr>
          <w:p>
            <w:r>
              <w:t>Long rates +50bp, short unchanged</w:t>
            </w:r>
          </w:p>
        </w:tc>
        <w:tc>
          <w:tcPr>
            <w:tcW w:type="dxa" w:w="2880"/>
          </w:tcPr>
          <w:p>
            <w:r>
              <w:t>Bear steepening</w:t>
            </w:r>
          </w:p>
        </w:tc>
      </w:tr>
      <w:tr>
        <w:tc>
          <w:tcPr>
            <w:tcW w:type="dxa" w:w="2880"/>
          </w:tcPr>
          <w:p>
            <w:r>
              <w:t>`equity_spike`</w:t>
            </w:r>
          </w:p>
        </w:tc>
        <w:tc>
          <w:tcPr>
            <w:tcW w:type="dxa" w:w="2880"/>
          </w:tcPr>
          <w:p>
            <w:r>
              <w:t>EQ vol × 2</w:t>
            </w:r>
          </w:p>
        </w:tc>
        <w:tc>
          <w:tcPr>
            <w:tcW w:type="dxa" w:w="2880"/>
          </w:tcPr>
          <w:p>
            <w:r>
              <w:t>VIX doubling (like March 2020)</w:t>
            </w:r>
          </w:p>
        </w:tc>
      </w:tr>
      <w:tr>
        <w:tc>
          <w:tcPr>
            <w:tcW w:type="dxa" w:w="2880"/>
          </w:tcPr>
          <w:p>
            <w:r>
              <w:t>`credit_widening`</w:t>
            </w:r>
          </w:p>
        </w:tc>
        <w:tc>
          <w:tcPr>
            <w:tcW w:type="dxa" w:w="2880"/>
          </w:tcPr>
          <w:p>
            <w:r>
              <w:t>Credit spreads +200bp</w:t>
            </w:r>
          </w:p>
        </w:tc>
        <w:tc>
          <w:tcPr>
            <w:tcW w:type="dxa" w:w="2880"/>
          </w:tcPr>
          <w:p>
            <w:r>
              <w:t>Credit market seizure</w:t>
            </w:r>
          </w:p>
        </w:tc>
      </w:tr>
    </w:tbl>
    <w:p>
      <w:r>
        <w:t>Each scenario applies the shock to `MarketParams`, creates a new `MonteCarloEngine` with the stressed parameters, and runs the full EPE/EEPE pipeline. Results are returned as a `Dict[str, ExposureProfile]` for comparison.</w:t>
      </w:r>
    </w:p>
    <w:p>
      <w:pPr>
        <w:pStyle w:val="Heading2"/>
        <w:jc w:val="left"/>
      </w:pPr>
      <w:r>
        <w:t>15. RWA Derivation</w:t>
      </w:r>
    </w:p>
    <w:p>
      <w:r>
        <w:t>Capital is converted to Risk-Weighted Assets using the Basel capital ratio framework:</w:t>
      </w:r>
    </w:p>
    <w:p>
      <w:pPr>
        <w:shd w:fill="F5F5F5"/>
      </w:pPr>
      <w:r>
        <w:rPr>
          <w:rFonts w:ascii="Courier New" w:hAnsi="Courier New"/>
          <w:color w:val="404040"/>
          <w:sz w:val="16"/>
        </w:rPr>
        <w:t>Capital Charge = EAD × Risk Weight (RW)</w:t>
      </w:r>
    </w:p>
    <w:p>
      <w:pPr>
        <w:shd w:fill="F5F5F5"/>
      </w:pPr>
      <w:r>
        <w:rPr>
          <w:rFonts w:ascii="Courier New" w:hAnsi="Courier New"/>
          <w:color w:val="404040"/>
          <w:sz w:val="16"/>
        </w:rPr>
        <w:t>RWA = Capital Charge / 8%</w:t>
      </w:r>
    </w:p>
    <w:p>
      <w:pPr>
        <w:shd w:fill="F5F5F5"/>
      </w:pPr>
      <w:r>
        <w:rPr>
          <w:rFonts w:ascii="Courier New" w:hAnsi="Courier New"/>
          <w:color w:val="404040"/>
          <w:sz w:val="16"/>
        </w:rPr>
        <w:t xml:space="preserve">    = EAD × RW × 12.5</w:t>
      </w:r>
    </w:p>
    <w:p>
      <w:r>
        <w:t>The factor 12.5 = 1 / 8% converts from capital to RWA (since minimum capital = 8% of RWA under Basel III Pillar 1).</w:t>
      </w:r>
    </w:p>
    <w:p>
      <w:r>
        <w:t xml:space="preserve">For CCR — </w:t>
      </w:r>
      <w:r>
        <w:rPr>
          <w:b/>
        </w:rPr>
        <w:t>Version 3.8 (CRE51.15 compliant)</w:t>
      </w:r>
      <w:r>
        <w:t>:</w:t>
      </w:r>
    </w:p>
    <w:p>
      <w:pPr>
        <w:shd w:fill="F5F5F5"/>
      </w:pPr>
      <w:r>
        <w:rPr>
          <w:rFonts w:ascii="Courier New" w:hAnsi="Courier New"/>
          <w:color w:val="404040"/>
          <w:sz w:val="16"/>
        </w:rPr>
        <w:t># Fix 1: dual-run max enforced in compute_rwa()</w:t>
      </w:r>
    </w:p>
    <w:p>
      <w:pPr>
        <w:shd w:fill="F5F5F5"/>
      </w:pPr>
      <w:r>
        <w:rPr>
          <w:rFonts w:ascii="Courier New" w:hAnsi="Courier New"/>
          <w:color w:val="404040"/>
          <w:sz w:val="16"/>
        </w:rPr>
        <w:t>ead_regulatory = max(profile.ead, profile.stressed_ead)</w:t>
      </w:r>
    </w:p>
    <w:p>
      <w:pPr>
        <w:shd w:fill="F5F5F5"/>
      </w:pPr>
      <w:r>
        <w:rPr>
          <w:rFonts w:ascii="Courier New" w:hAnsi="Courier New"/>
          <w:color w:val="404040"/>
          <w:sz w:val="16"/>
        </w:rPr>
        <w:t>RWA_IMM = ead_regulatory × RW × 12.5 × 0.08</w:t>
      </w:r>
    </w:p>
    <w:p>
      <w:pPr>
        <w:shd w:fill="F5F5F5"/>
      </w:pPr>
      <w:r>
        <w:rPr>
          <w:rFonts w:ascii="Courier New" w:hAnsi="Courier New"/>
          <w:color w:val="404040"/>
          <w:sz w:val="16"/>
        </w:rPr>
        <w:t xml:space="preserve">         = ead_regulatory × RW</w:t>
      </w:r>
    </w:p>
    <w:p>
      <w:r>
        <w:t>The `risk_weight` parameter defaults to 1.0 (100% risk weight for unrated / standardised).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Key</w:t>
            </w:r>
          </w:p>
        </w:tc>
        <w:tc>
          <w:tcPr>
            <w:tcW w:type="dxa" w:w="2880"/>
          </w:tcPr>
          <w:p>
            <w:r>
              <w:rPr>
                <w:b/>
                <w:sz w:val="20"/>
              </w:rPr>
              <w:t>Source</w:t>
            </w:r>
          </w:p>
        </w:tc>
        <w:tc>
          <w:tcPr>
            <w:tcW w:type="dxa" w:w="2880"/>
          </w:tcPr>
          <w:p>
            <w:r>
              <w:rPr>
                <w:b/>
                <w:sz w:val="20"/>
              </w:rPr>
              <w:t>Notes</w:t>
            </w:r>
          </w:p>
        </w:tc>
      </w:tr>
      <w:tr>
        <w:tc>
          <w:tcPr>
            <w:tcW w:type="dxa" w:w="2880"/>
          </w:tcPr>
          <w:p>
            <w:r>
              <w:t>`ead_imm`</w:t>
            </w:r>
          </w:p>
        </w:tc>
        <w:tc>
          <w:tcPr>
            <w:tcW w:type="dxa" w:w="2880"/>
          </w:tcPr>
          <w:p>
            <w:r>
              <w:t>α × EEPE_current</w:t>
            </w:r>
          </w:p>
        </w:tc>
        <w:tc>
          <w:tcPr>
            <w:tcW w:type="dxa" w:w="2880"/>
          </w:tcPr>
          <w:p>
            <w:r>
              <w:t>Current-calibration EAD</w:t>
            </w:r>
          </w:p>
        </w:tc>
      </w:tr>
      <w:tr>
        <w:tc>
          <w:tcPr>
            <w:tcW w:type="dxa" w:w="2880"/>
          </w:tcPr>
          <w:p>
            <w:r>
              <w:t>`stressed_ead`</w:t>
            </w:r>
          </w:p>
        </w:tc>
        <w:tc>
          <w:tcPr>
            <w:tcW w:type="dxa" w:w="2880"/>
          </w:tcPr>
          <w:p>
            <w:r>
              <w:t>α × EEPE_stressed</w:t>
            </w:r>
          </w:p>
        </w:tc>
        <w:tc>
          <w:tcPr>
            <w:tcW w:type="dxa" w:w="2880"/>
          </w:tcPr>
          <w:p>
            <w:r>
              <w:t>GFC-calibrated stressed EAD</w:t>
            </w:r>
          </w:p>
        </w:tc>
      </w:tr>
      <w:tr>
        <w:tc>
          <w:tcPr>
            <w:tcW w:type="dxa" w:w="2880"/>
          </w:tcPr>
          <w:p>
            <w:r>
              <w:t>`ead_regulatory`</w:t>
            </w:r>
          </w:p>
        </w:tc>
        <w:tc>
          <w:tcPr>
            <w:tcW w:type="dxa" w:w="2880"/>
          </w:tcPr>
          <w:p>
            <w:r>
              <w:t>`max(ead_imm, stressed_ead)`</w:t>
            </w:r>
          </w:p>
        </w:tc>
        <w:tc>
          <w:tcPr>
            <w:tcW w:type="dxa" w:w="2880"/>
          </w:tcPr>
          <w:p>
            <w:r>
              <w:t>**Regulatory binding EAD (Fix 1)**</w:t>
            </w:r>
          </w:p>
        </w:tc>
      </w:tr>
      <w:tr>
        <w:tc>
          <w:tcPr>
            <w:tcW w:type="dxa" w:w="2880"/>
          </w:tcPr>
          <w:p>
            <w:r>
              <w:t>`stressed_binding`</w:t>
            </w:r>
          </w:p>
        </w:tc>
        <w:tc>
          <w:tcPr>
            <w:tcW w:type="dxa" w:w="2880"/>
          </w:tcPr>
          <w:p>
            <w:r>
              <w:t>bool</w:t>
            </w:r>
          </w:p>
        </w:tc>
        <w:tc>
          <w:tcPr>
            <w:tcW w:type="dxa" w:w="2880"/>
          </w:tcPr>
          <w:p>
            <w:r>
              <w:t>`True` when stressed run drives capital</w:t>
            </w:r>
          </w:p>
        </w:tc>
      </w:tr>
    </w:tbl>
    <w:p>
      <w:pPr>
        <w:pStyle w:val="Heading2"/>
        <w:jc w:val="left"/>
      </w:pPr>
      <w:r>
        <w:t>16. Configuration Parameters</w:t>
      </w:r>
    </w:p>
    <w:p>
      <w:r>
        <w:t>Defined in `backend/config.py`: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Parameter</w:t>
            </w:r>
          </w:p>
        </w:tc>
        <w:tc>
          <w:tcPr>
            <w:tcW w:type="dxa" w:w="2160"/>
          </w:tcPr>
          <w:p>
            <w:r>
              <w:rPr>
                <w:b/>
                <w:sz w:val="20"/>
              </w:rPr>
              <w:t>Class</w:t>
            </w:r>
          </w:p>
        </w:tc>
        <w:tc>
          <w:tcPr>
            <w:tcW w:type="dxa" w:w="2160"/>
          </w:tcPr>
          <w:p>
            <w:r>
              <w:rPr>
                <w:b/>
                <w:sz w:val="20"/>
              </w:rPr>
              <w:t>Value</w:t>
            </w:r>
          </w:p>
        </w:tc>
        <w:tc>
          <w:tcPr>
            <w:tcW w:type="dxa" w:w="2160"/>
          </w:tcPr>
          <w:p>
            <w:r>
              <w:rPr>
                <w:b/>
                <w:sz w:val="20"/>
              </w:rPr>
              <w:t>Description</w:t>
            </w:r>
          </w:p>
        </w:tc>
      </w:tr>
      <w:tr>
        <w:tc>
          <w:tcPr>
            <w:tcW w:type="dxa" w:w="2160"/>
          </w:tcPr>
          <w:p>
            <w:r>
              <w:t>`num_scenarios`</w:t>
            </w:r>
          </w:p>
        </w:tc>
        <w:tc>
          <w:tcPr>
            <w:tcW w:type="dxa" w:w="2160"/>
          </w:tcPr>
          <w:p>
            <w:r>
              <w:t>`IMM`</w:t>
            </w:r>
          </w:p>
        </w:tc>
        <w:tc>
          <w:tcPr>
            <w:tcW w:type="dxa" w:w="2160"/>
          </w:tcPr>
          <w:p>
            <w:r>
              <w:t>2,000</w:t>
            </w:r>
          </w:p>
        </w:tc>
        <w:tc>
          <w:tcPr>
            <w:tcW w:type="dxa" w:w="2160"/>
          </w:tcPr>
          <w:p>
            <w:r>
              <w:t>Base Monte Carlo paths</w:t>
            </w:r>
          </w:p>
        </w:tc>
      </w:tr>
      <w:tr>
        <w:tc>
          <w:tcPr>
            <w:tcW w:type="dxa" w:w="2160"/>
          </w:tcPr>
          <w:p>
            <w:r>
              <w:t>`time_steps`</w:t>
            </w:r>
          </w:p>
        </w:tc>
        <w:tc>
          <w:tcPr>
            <w:tcW w:type="dxa" w:w="2160"/>
          </w:tcPr>
          <w:p>
            <w:r>
              <w:t>`IMM`</w:t>
            </w:r>
          </w:p>
        </w:tc>
        <w:tc>
          <w:tcPr>
            <w:tcW w:type="dxa" w:w="2160"/>
          </w:tcPr>
          <w:p>
            <w:r>
              <w:t>52</w:t>
            </w:r>
          </w:p>
        </w:tc>
        <w:tc>
          <w:tcPr>
            <w:tcW w:type="dxa" w:w="2160"/>
          </w:tcPr>
          <w:p>
            <w:r>
              <w:t>Weekly steps in 1-year horizon</w:t>
            </w:r>
          </w:p>
        </w:tc>
      </w:tr>
      <w:tr>
        <w:tc>
          <w:tcPr>
            <w:tcW w:type="dxa" w:w="2160"/>
          </w:tcPr>
          <w:p>
            <w:r>
              <w:t>`time_horizon_years`</w:t>
            </w:r>
          </w:p>
        </w:tc>
        <w:tc>
          <w:tcPr>
            <w:tcW w:type="dxa" w:w="2160"/>
          </w:tcPr>
          <w:p>
            <w:r>
              <w:t>`IMM`</w:t>
            </w:r>
          </w:p>
        </w:tc>
        <w:tc>
          <w:tcPr>
            <w:tcW w:type="dxa" w:w="2160"/>
          </w:tcPr>
          <w:p>
            <w:r>
              <w:t>1.0</w:t>
            </w:r>
          </w:p>
        </w:tc>
        <w:tc>
          <w:tcPr>
            <w:tcW w:type="dxa" w:w="2160"/>
          </w:tcPr>
          <w:p>
            <w:r>
              <w:t>Simulation horizon</w:t>
            </w:r>
          </w:p>
        </w:tc>
      </w:tr>
      <w:tr>
        <w:tc>
          <w:tcPr>
            <w:tcW w:type="dxa" w:w="2160"/>
          </w:tcPr>
          <w:p>
            <w:r>
              <w:t>`random_seed`</w:t>
            </w:r>
          </w:p>
        </w:tc>
        <w:tc>
          <w:tcPr>
            <w:tcW w:type="dxa" w:w="2160"/>
          </w:tcPr>
          <w:p>
            <w:r>
              <w:t>`IMM`</w:t>
            </w:r>
          </w:p>
        </w:tc>
        <w:tc>
          <w:tcPr>
            <w:tcW w:type="dxa" w:w="2160"/>
          </w:tcPr>
          <w:p>
            <w:r>
              <w:t>Fixed</w:t>
            </w:r>
          </w:p>
        </w:tc>
        <w:tc>
          <w:tcPr>
            <w:tcW w:type="dxa" w:w="2160"/>
          </w:tcPr>
          <w:p>
            <w:r>
              <w:t>Reproducibility seed</w:t>
            </w:r>
          </w:p>
        </w:tc>
      </w:tr>
      <w:tr>
        <w:tc>
          <w:tcPr>
            <w:tcW w:type="dxa" w:w="2160"/>
          </w:tcPr>
          <w:p>
            <w:r>
              <w:t>`alpha`</w:t>
            </w:r>
          </w:p>
        </w:tc>
        <w:tc>
          <w:tcPr>
            <w:tcW w:type="dxa" w:w="2160"/>
          </w:tcPr>
          <w:p>
            <w:r>
              <w:t>`SACCR`</w:t>
            </w:r>
          </w:p>
        </w:tc>
        <w:tc>
          <w:tcPr>
            <w:tcW w:type="dxa" w:w="2160"/>
          </w:tcPr>
          <w:p>
            <w:r>
              <w:t>**1.4**</w:t>
            </w:r>
          </w:p>
        </w:tc>
        <w:tc>
          <w:tcPr>
            <w:tcW w:type="dxa" w:w="2160"/>
          </w:tcPr>
          <w:p>
            <w:r>
              <w:t>Regulatory EAD multiplier</w:t>
            </w:r>
          </w:p>
        </w:tc>
      </w:tr>
      <w:tr>
        <w:tc>
          <w:tcPr>
            <w:tcW w:type="dxa" w:w="2160"/>
          </w:tcPr>
          <w:p>
            <w:r>
              <w:t>`stressed_vol`</w:t>
            </w:r>
          </w:p>
        </w:tc>
        <w:tc>
          <w:tcPr>
            <w:tcW w:type="dxa" w:w="2160"/>
          </w:tcPr>
          <w:p>
            <w:r>
              <w:t>`MarketParams`</w:t>
            </w:r>
          </w:p>
        </w:tc>
        <w:tc>
          <w:tcPr>
            <w:tcW w:type="dxa" w:w="2160"/>
          </w:tcPr>
          <w:p>
            <w:r>
              <w:t>**0.38**</w:t>
            </w:r>
          </w:p>
        </w:tc>
        <w:tc>
          <w:tcPr>
            <w:tcW w:type="dxa" w:w="2160"/>
          </w:tcPr>
          <w:p>
            <w:r>
              <w:t>EQ GFC stressed vol (2007–09 empirical; was 0.40)</w:t>
            </w:r>
          </w:p>
        </w:tc>
      </w:tr>
      <w:tr>
        <w:tc>
          <w:tcPr>
            <w:tcW w:type="dxa" w:w="2160"/>
          </w:tcPr>
          <w:p>
            <w:r>
              <w:t>`ir_stressed_vol`</w:t>
            </w:r>
          </w:p>
        </w:tc>
        <w:tc>
          <w:tcPr>
            <w:tcW w:type="dxa" w:w="2160"/>
          </w:tcPr>
          <w:p>
            <w:r>
              <w:t>`MarketParams`</w:t>
            </w:r>
          </w:p>
        </w:tc>
        <w:tc>
          <w:tcPr>
            <w:tcW w:type="dxa" w:w="2160"/>
          </w:tcPr>
          <w:p>
            <w:r>
              <w:t>**≥ 0.020**</w:t>
            </w:r>
          </w:p>
        </w:tc>
        <w:tc>
          <w:tcPr>
            <w:tcW w:type="dxa" w:w="2160"/>
          </w:tcPr>
          <w:p>
            <w:r>
              <w:t>IR GFC floor σᵣ (2007–09 empirical; was 0.030)</w:t>
            </w:r>
          </w:p>
        </w:tc>
      </w:tr>
      <w:tr>
        <w:tc>
          <w:tcPr>
            <w:tcW w:type="dxa" w:w="2160"/>
          </w:tcPr>
          <w:p>
            <w:r>
              <w:t>`fx_stressed_vol`</w:t>
            </w:r>
          </w:p>
        </w:tc>
        <w:tc>
          <w:tcPr>
            <w:tcW w:type="dxa" w:w="2160"/>
          </w:tcPr>
          <w:p>
            <w:r>
              <w:t>`MarketParams`</w:t>
            </w:r>
          </w:p>
        </w:tc>
        <w:tc>
          <w:tcPr>
            <w:tcW w:type="dxa" w:w="2160"/>
          </w:tcPr>
          <w:p>
            <w:r>
              <w:t>**0.18**</w:t>
            </w:r>
          </w:p>
        </w:tc>
        <w:tc>
          <w:tcPr>
            <w:tcW w:type="dxa" w:w="2160"/>
          </w:tcPr>
          <w:p>
            <w:r>
              <w:t>FX GFC stressed vol (2007–09 empirical; was 0.20)</w:t>
            </w:r>
          </w:p>
        </w:tc>
      </w:tr>
      <w:tr>
        <w:tc>
          <w:tcPr>
            <w:tcW w:type="dxa" w:w="2160"/>
          </w:tcPr>
          <w:p>
            <w:r>
              <w:t>`cr_stressed_vol`</w:t>
            </w:r>
          </w:p>
        </w:tc>
        <w:tc>
          <w:tcPr>
            <w:tcW w:type="dxa" w:w="2160"/>
          </w:tcPr>
          <w:p>
            <w:r>
              <w:t>`MarketParams`</w:t>
            </w:r>
          </w:p>
        </w:tc>
        <w:tc>
          <w:tcPr>
            <w:tcW w:type="dxa" w:w="2160"/>
          </w:tcPr>
          <w:p>
            <w:r>
              <w:t>**0.65**</w:t>
            </w:r>
          </w:p>
        </w:tc>
        <w:tc>
          <w:tcPr>
            <w:tcW w:type="dxa" w:w="2160"/>
          </w:tcPr>
          <w:p>
            <w:r>
              <w:t>CR GFC stressed vol (IG CDX 2007–09; was 0.60)</w:t>
            </w:r>
          </w:p>
        </w:tc>
      </w:tr>
      <w:tr>
        <w:tc>
          <w:tcPr>
            <w:tcW w:type="dxa" w:w="2160"/>
          </w:tcPr>
          <w:p>
            <w:r>
              <w:t>`cmdty_stressed_vol`</w:t>
            </w:r>
          </w:p>
        </w:tc>
        <w:tc>
          <w:tcPr>
            <w:tcW w:type="dxa" w:w="2160"/>
          </w:tcPr>
          <w:p>
            <w:r>
              <w:t>`MarketParams`</w:t>
            </w:r>
          </w:p>
        </w:tc>
        <w:tc>
          <w:tcPr>
            <w:tcW w:type="dxa" w:w="2160"/>
          </w:tcPr>
          <w:p>
            <w:r>
              <w:t>**0.58**</w:t>
            </w:r>
          </w:p>
        </w:tc>
        <w:tc>
          <w:tcPr>
            <w:tcW w:type="dxa" w:w="2160"/>
          </w:tcPr>
          <w:p>
            <w:r>
              <w:t>CMDTY GFC stressed vol (WTI 2007–09; was 0.50)</w:t>
            </w:r>
          </w:p>
        </w:tc>
      </w:tr>
    </w:tbl>
    <w:p>
      <w:pPr>
        <w:pStyle w:val="Heading2"/>
        <w:jc w:val="left"/>
      </w:pPr>
      <w:r>
        <w:t>17. Complete Glossary of All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Term</w:t>
            </w:r>
          </w:p>
        </w:tc>
        <w:tc>
          <w:tcPr>
            <w:tcW w:type="dxa" w:w="2880"/>
          </w:tcPr>
          <w:p>
            <w:r>
              <w:rPr>
                <w:b/>
                <w:sz w:val="20"/>
              </w:rPr>
              <w:t>Formula / Definition</w:t>
            </w:r>
          </w:p>
        </w:tc>
        <w:tc>
          <w:tcPr>
            <w:tcW w:type="dxa" w:w="2880"/>
          </w:tcPr>
          <w:p>
            <w:r>
              <w:rPr>
                <w:b/>
                <w:sz w:val="20"/>
              </w:rPr>
              <w:t>Source</w:t>
            </w:r>
          </w:p>
        </w:tc>
      </w:tr>
      <w:tr>
        <w:tc>
          <w:tcPr>
            <w:tcW w:type="dxa" w:w="2880"/>
          </w:tcPr>
          <w:p>
            <w:r>
              <w:t>**α (Alpha)**</w:t>
            </w:r>
          </w:p>
        </w:tc>
        <w:tc>
          <w:tcPr>
            <w:tcW w:type="dxa" w:w="2880"/>
          </w:tcPr>
          <w:p>
            <w:r>
              <w:t>Regulatory multiplier = **1.4** applied to EEPE to get EAD</w:t>
            </w:r>
          </w:p>
        </w:tc>
        <w:tc>
          <w:tcPr>
            <w:tcW w:type="dxa" w:w="2880"/>
          </w:tcPr>
          <w:p>
            <w:r>
              <w:t>CRE53.16</w:t>
            </w:r>
          </w:p>
        </w:tc>
      </w:tr>
      <w:tr>
        <w:tc>
          <w:tcPr>
            <w:tcW w:type="dxa" w:w="2880"/>
          </w:tcPr>
          <w:p>
            <w:r>
              <w:t>**Antithetic Sampling**</w:t>
            </w:r>
          </w:p>
        </w:tc>
        <w:tc>
          <w:tcPr>
            <w:tcW w:type="dxa" w:w="2880"/>
          </w:tcPr>
          <w:p>
            <w:r>
              <w:t>Variance reduction using −Z alongside +Z in Monte Carlo</w:t>
            </w:r>
          </w:p>
        </w:tc>
        <w:tc>
          <w:tcPr>
            <w:tcW w:type="dxa" w:w="2880"/>
          </w:tcPr>
          <w:p>
            <w:r>
              <w:t>CRE53.21</w:t>
            </w:r>
          </w:p>
        </w:tc>
      </w:tr>
      <w:tr>
        <w:tc>
          <w:tcPr>
            <w:tcW w:type="dxa" w:w="2880"/>
          </w:tcPr>
          <w:p>
            <w:r>
              <w:t>**Bond Convexity**</w:t>
            </w:r>
          </w:p>
        </w:tc>
        <w:tc>
          <w:tcPr>
            <w:tcW w:type="dxa" w:w="2880"/>
          </w:tcPr>
          <w:p>
            <w:r>
              <w:t>Second-order price sensitivity to rate changes: `0.5 × convexity × Δr²`</w:t>
            </w:r>
          </w:p>
        </w:tc>
        <w:tc>
          <w:tcPr>
            <w:tcW w:type="dxa" w:w="2880"/>
          </w:tcPr>
          <w:p>
            <w:r>
              <w:t>Market standard</w:t>
            </w:r>
          </w:p>
        </w:tc>
      </w:tr>
      <w:tr>
        <w:tc>
          <w:tcPr>
            <w:tcW w:type="dxa" w:w="2880"/>
          </w:tcPr>
          <w:p>
            <w:r>
              <w:t>**C (Total Collateral)**</w:t>
            </w:r>
          </w:p>
        </w:tc>
        <w:tc>
          <w:tcPr>
            <w:tcW w:type="dxa" w:w="2880"/>
          </w:tcPr>
          <w:p>
            <w:r>
              <w:t>`C = VM + IM` — total collateral received from counterparty</w:t>
            </w:r>
          </w:p>
        </w:tc>
        <w:tc>
          <w:tcPr>
            <w:tcW w:type="dxa" w:w="2880"/>
          </w:tcPr>
          <w:p>
            <w:r>
              <w:t>CRE52.18</w:t>
            </w:r>
          </w:p>
        </w:tc>
      </w:tr>
      <w:tr>
        <w:tc>
          <w:tcPr>
            <w:tcW w:type="dxa" w:w="2880"/>
          </w:tcPr>
          <w:p>
            <w:r>
              <w:t>**Cholesky Decomposition**</w:t>
            </w:r>
          </w:p>
        </w:tc>
        <w:tc>
          <w:tcPr>
            <w:tcW w:type="dxa" w:w="2880"/>
          </w:tcPr>
          <w:p>
            <w:r>
              <w:t>Factorises correlation matrix for correlated random draws: `Σ = L × Lᵀ`</w:t>
            </w:r>
          </w:p>
        </w:tc>
        <w:tc>
          <w:tcPr>
            <w:tcW w:type="dxa" w:w="2880"/>
          </w:tcPr>
          <w:p>
            <w:r>
              <w:t>Numerical methods</w:t>
            </w:r>
          </w:p>
        </w:tc>
      </w:tr>
      <w:tr>
        <w:tc>
          <w:tcPr>
            <w:tcW w:type="dxa" w:w="2880"/>
          </w:tcPr>
          <w:p>
            <w:r>
              <w:t>**CDS Spread**</w:t>
            </w:r>
          </w:p>
        </w:tc>
        <w:tc>
          <w:tcPr>
            <w:tcW w:type="dxa" w:w="2880"/>
          </w:tcPr>
          <w:p>
            <w:r>
              <w:t>Market credit default swap spread used to calibrate hazard rate</w:t>
            </w:r>
          </w:p>
        </w:tc>
        <w:tc>
          <w:tcPr>
            <w:tcW w:type="dxa" w:w="2880"/>
          </w:tcPr>
          <w:p>
            <w:r>
              <w:t>CVA pricing</w:t>
            </w:r>
          </w:p>
        </w:tc>
      </w:tr>
      <w:tr>
        <w:tc>
          <w:tcPr>
            <w:tcW w:type="dxa" w:w="2880"/>
          </w:tcPr>
          <w:p>
            <w:r>
              <w:t>**CVA**</w:t>
            </w:r>
          </w:p>
        </w:tc>
        <w:tc>
          <w:tcPr>
            <w:tcW w:type="dxa" w:w="2880"/>
          </w:tcPr>
          <w:p>
            <w:r>
              <w:t>Credit Valuation Adjustment: `(1−RR) × Σ EE(t) × PD(t) × D(t)`</w:t>
            </w:r>
          </w:p>
        </w:tc>
        <w:tc>
          <w:tcPr>
            <w:tcW w:type="dxa" w:w="2880"/>
          </w:tcPr>
          <w:p>
            <w:r>
              <w:t>CRE53 / BCBS</w:t>
            </w:r>
          </w:p>
        </w:tc>
      </w:tr>
      <w:tr>
        <w:tc>
          <w:tcPr>
            <w:tcW w:type="dxa" w:w="2880"/>
          </w:tcPr>
          <w:p>
            <w:r>
              <w:t>**DIM**</w:t>
            </w:r>
          </w:p>
        </w:tc>
        <w:tc>
          <w:tcPr>
            <w:tcW w:type="dxa" w:w="2880"/>
          </w:tcPr>
          <w:p>
            <w:r>
              <w:t>Dynamic Initial Margin: `max(0, (ES − EEPE) / α)`</w:t>
            </w:r>
          </w:p>
        </w:tc>
        <w:tc>
          <w:tcPr>
            <w:tcW w:type="dxa" w:w="2880"/>
          </w:tcPr>
          <w:p>
            <w:r>
              <w:t>UMR / SIMM</w:t>
            </w:r>
          </w:p>
        </w:tc>
      </w:tr>
      <w:tr>
        <w:tc>
          <w:tcPr>
            <w:tcW w:type="dxa" w:w="2880"/>
          </w:tcPr>
          <w:p>
            <w:r>
              <w:t>**Direction**</w:t>
            </w:r>
          </w:p>
        </w:tc>
        <w:tc>
          <w:tcPr>
            <w:tcW w:type="dxa" w:w="2880"/>
          </w:tcPr>
          <w:p>
            <w:r>
              <w:t>+1 (long/receive) or −1 (short/pay) trade orientation</w:t>
            </w:r>
          </w:p>
        </w:tc>
        <w:tc>
          <w:tcPr>
            <w:tcW w:type="dxa" w:w="2880"/>
          </w:tcPr>
          <w:p>
            <w:r>
              <w:t>Trade metadata</w:t>
            </w:r>
          </w:p>
        </w:tc>
      </w:tr>
      <w:tr>
        <w:tc>
          <w:tcPr>
            <w:tcW w:type="dxa" w:w="2880"/>
          </w:tcPr>
          <w:p>
            <w:r>
              <w:t>**dt**</w:t>
            </w:r>
          </w:p>
        </w:tc>
        <w:tc>
          <w:tcPr>
            <w:tcW w:type="dxa" w:w="2880"/>
          </w:tcPr>
          <w:p>
            <w:r>
              <w:t>Time step size = `time_horizon / time_steps` = 1/52 years</w:t>
            </w:r>
          </w:p>
        </w:tc>
        <w:tc>
          <w:tcPr>
            <w:tcW w:type="dxa" w:w="2880"/>
          </w:tcPr>
          <w:p>
            <w:r>
              <w:t>Simulation</w:t>
            </w:r>
          </w:p>
        </w:tc>
      </w:tr>
      <w:tr>
        <w:tc>
          <w:tcPr>
            <w:tcW w:type="dxa" w:w="2880"/>
          </w:tcPr>
          <w:p>
            <w:r>
              <w:t>**Duration**</w:t>
            </w:r>
          </w:p>
        </w:tc>
        <w:tc>
          <w:tcPr>
            <w:tcW w:type="dxa" w:w="2880"/>
          </w:tcPr>
          <w:p>
            <w:r>
              <w:t>Trade remaining maturity in years; drives IR/CDS bond price sensitivity</w:t>
            </w:r>
          </w:p>
        </w:tc>
        <w:tc>
          <w:tcPr>
            <w:tcW w:type="dxa" w:w="2880"/>
          </w:tcPr>
          <w:p>
            <w:r>
              <w:t>Market standard</w:t>
            </w:r>
          </w:p>
        </w:tc>
      </w:tr>
      <w:tr>
        <w:tc>
          <w:tcPr>
            <w:tcW w:type="dxa" w:w="2880"/>
          </w:tcPr>
          <w:p>
            <w:r>
              <w:t>**EAD_IMM**</w:t>
            </w:r>
          </w:p>
        </w:tc>
        <w:tc>
          <w:tcPr>
            <w:tcW w:type="dxa" w:w="2880"/>
          </w:tcPr>
          <w:p>
            <w:r>
              <w:t>Exposure at Default = `α × EEPE`</w:t>
            </w:r>
          </w:p>
        </w:tc>
        <w:tc>
          <w:tcPr>
            <w:tcW w:type="dxa" w:w="2880"/>
          </w:tcPr>
          <w:p>
            <w:r>
              <w:t>**CRE53.15–16**</w:t>
            </w:r>
          </w:p>
        </w:tc>
      </w:tr>
      <w:tr>
        <w:tc>
          <w:tcPr>
            <w:tcW w:type="dxa" w:w="2880"/>
          </w:tcPr>
          <w:p>
            <w:r>
              <w:t>**EAD_csa**</w:t>
            </w:r>
          </w:p>
        </w:tc>
        <w:tc>
          <w:tcPr>
            <w:tcW w:type="dxa" w:w="2880"/>
          </w:tcPr>
          <w:p>
            <w:r>
              <w:t>CSA-adjusted EAD = `α × (RC_csa + EEPE_mpor)`</w:t>
            </w:r>
          </w:p>
        </w:tc>
        <w:tc>
          <w:tcPr>
            <w:tcW w:type="dxa" w:w="2880"/>
          </w:tcPr>
          <w:p>
            <w:r>
              <w:t>**CRE53.22**</w:t>
            </w:r>
          </w:p>
        </w:tc>
      </w:tr>
      <w:tr>
        <w:tc>
          <w:tcPr>
            <w:tcW w:type="dxa" w:w="2880"/>
          </w:tcPr>
          <w:p>
            <w:r>
              <w:t>**EE(t)**</w:t>
            </w:r>
          </w:p>
        </w:tc>
        <w:tc>
          <w:tcPr>
            <w:tcW w:type="dxa" w:w="2880"/>
          </w:tcPr>
          <w:p>
            <w:r>
              <w:t>Expected Exposure = `mean{ max(MtM(t,i), 0) }` over all scenarios</w:t>
            </w:r>
          </w:p>
        </w:tc>
        <w:tc>
          <w:tcPr>
            <w:tcW w:type="dxa" w:w="2880"/>
          </w:tcPr>
          <w:p>
            <w:r>
              <w:t>**CRE53.13**</w:t>
            </w:r>
          </w:p>
        </w:tc>
      </w:tr>
      <w:tr>
        <w:tc>
          <w:tcPr>
            <w:tcW w:type="dxa" w:w="2880"/>
          </w:tcPr>
          <w:p>
            <w:r>
              <w:t>**EEE(t)**</w:t>
            </w:r>
          </w:p>
        </w:tc>
        <w:tc>
          <w:tcPr>
            <w:tcW w:type="dxa" w:w="2880"/>
          </w:tcPr>
          <w:p>
            <w:r>
              <w:t>Effective EE = `max(EE(t), EEE(t−1))` — non-decreasing</w:t>
            </w:r>
          </w:p>
        </w:tc>
        <w:tc>
          <w:tcPr>
            <w:tcW w:type="dxa" w:w="2880"/>
          </w:tcPr>
          <w:p>
            <w:r>
              <w:t>**CRE53.13**</w:t>
            </w:r>
          </w:p>
        </w:tc>
      </w:tr>
      <w:tr>
        <w:tc>
          <w:tcPr>
            <w:tcW w:type="dxa" w:w="2880"/>
          </w:tcPr>
          <w:p>
            <w:r>
              <w:t>**EEPE**</w:t>
            </w:r>
          </w:p>
        </w:tc>
        <w:tc>
          <w:tcPr>
            <w:tcW w:type="dxa" w:w="2880"/>
          </w:tcPr>
          <w:p>
            <w:r>
              <w:t>Effective EPE = `mean(EEE)` over `[0, 1yr]`</w:t>
            </w:r>
          </w:p>
        </w:tc>
        <w:tc>
          <w:tcPr>
            <w:tcW w:type="dxa" w:w="2880"/>
          </w:tcPr>
          <w:p>
            <w:r>
              <w:t>**CRE53.15**</w:t>
            </w:r>
          </w:p>
        </w:tc>
      </w:tr>
      <w:tr>
        <w:tc>
          <w:tcPr>
            <w:tcW w:type="dxa" w:w="2880"/>
          </w:tcPr>
          <w:p>
            <w:r>
              <w:t>**EPE**</w:t>
            </w:r>
          </w:p>
        </w:tc>
        <w:tc>
          <w:tcPr>
            <w:tcW w:type="dxa" w:w="2880"/>
          </w:tcPr>
          <w:p>
            <w:r>
              <w:t>Expected Positive Exposure = `mean(EE)` over `[0, 1yr]`</w:t>
            </w:r>
          </w:p>
        </w:tc>
        <w:tc>
          <w:tcPr>
            <w:tcW w:type="dxa" w:w="2880"/>
          </w:tcPr>
          <w:p>
            <w:r>
              <w:t>**CRE53.14**</w:t>
            </w:r>
          </w:p>
        </w:tc>
      </w:tr>
      <w:tr>
        <w:tc>
          <w:tcPr>
            <w:tcW w:type="dxa" w:w="2880"/>
          </w:tcPr>
          <w:p>
            <w:r>
              <w:t>**ES**</w:t>
            </w:r>
          </w:p>
        </w:tc>
        <w:tc>
          <w:tcPr>
            <w:tcW w:type="dxa" w:w="2880"/>
          </w:tcPr>
          <w:p>
            <w:r>
              <w:t>Expected Shortfall at 97.5% (approximated by PFE_95 in engine)</w:t>
            </w:r>
          </w:p>
        </w:tc>
        <w:tc>
          <w:tcPr>
            <w:tcW w:type="dxa" w:w="2880"/>
          </w:tcPr>
          <w:p>
            <w:r>
              <w:t>FRTB / IMM</w:t>
            </w:r>
          </w:p>
        </w:tc>
      </w:tr>
      <w:tr>
        <w:tc>
          <w:tcPr>
            <w:tcW w:type="dxa" w:w="2880"/>
          </w:tcPr>
          <w:p>
            <w:r>
              <w:t>**Exposure**</w:t>
            </w:r>
          </w:p>
        </w:tc>
        <w:tc>
          <w:tcPr>
            <w:tcW w:type="dxa" w:w="2880"/>
          </w:tcPr>
          <w:p>
            <w:r>
              <w:t>`max(MtM, 0)` — positive MtM only (bank only loses when in-the-money)</w:t>
            </w:r>
          </w:p>
        </w:tc>
        <w:tc>
          <w:tcPr>
            <w:tcW w:type="dxa" w:w="2880"/>
          </w:tcPr>
          <w:p>
            <w:r>
              <w:t>CCR definition</w:t>
            </w:r>
          </w:p>
        </w:tc>
      </w:tr>
      <w:tr>
        <w:tc>
          <w:tcPr>
            <w:tcW w:type="dxa" w:w="2880"/>
          </w:tcPr>
          <w:p>
            <w:r>
              <w:t>**FRTB add-on**</w:t>
            </w:r>
          </w:p>
        </w:tc>
        <w:tc>
          <w:tcPr>
            <w:tcW w:type="dxa" w:w="2880"/>
          </w:tcPr>
          <w:p>
            <w:r>
              <w:t>`0.15 × √(EEPE × Notional)`</w:t>
            </w:r>
          </w:p>
        </w:tc>
        <w:tc>
          <w:tcPr>
            <w:tcW w:type="dxa" w:w="2880"/>
          </w:tcPr>
          <w:p>
            <w:r>
              <w:t>FRTB SA-CVA</w:t>
            </w:r>
          </w:p>
        </w:tc>
      </w:tr>
      <w:tr>
        <w:tc>
          <w:tcPr>
            <w:tcW w:type="dxa" w:w="2880"/>
          </w:tcPr>
          <w:p>
            <w:r>
              <w:t>**GBM**</w:t>
            </w:r>
          </w:p>
        </w:tc>
        <w:tc>
          <w:tcPr>
            <w:tcW w:type="dxa" w:w="2880"/>
          </w:tcPr>
          <w:p>
            <w:r>
              <w:t>Geometric Brownian Motion: `dS/S = μdt + σdW`</w:t>
            </w:r>
          </w:p>
        </w:tc>
        <w:tc>
          <w:tcPr>
            <w:tcW w:type="dxa" w:w="2880"/>
          </w:tcPr>
          <w:p>
            <w:r>
              <w:t>Market standard</w:t>
            </w:r>
          </w:p>
        </w:tc>
      </w:tr>
      <w:tr>
        <w:tc>
          <w:tcPr>
            <w:tcW w:type="dxa" w:w="2880"/>
          </w:tcPr>
          <w:p>
            <w:r>
              <w:t>**Greeks**</w:t>
            </w:r>
          </w:p>
        </w:tc>
        <w:tc>
          <w:tcPr>
            <w:tcW w:type="dxa" w:w="2880"/>
          </w:tcPr>
          <w:p>
            <w:r>
              <w:t>Sensitivities of EAD to market parameters (vega, rho, lambda)</w:t>
            </w:r>
          </w:p>
        </w:tc>
        <w:tc>
          <w:tcPr>
            <w:tcW w:type="dxa" w:w="2880"/>
          </w:tcPr>
          <w:p>
            <w:r>
              <w:t>Internal risk</w:t>
            </w:r>
          </w:p>
        </w:tc>
      </w:tr>
      <w:tr>
        <w:tc>
          <w:tcPr>
            <w:tcW w:type="dxa" w:w="2880"/>
          </w:tcPr>
          <w:p>
            <w:r>
              <w:t>**Haircut (h)**</w:t>
            </w:r>
          </w:p>
        </w:tc>
        <w:tc>
          <w:tcPr>
            <w:tcW w:type="dxa" w:w="2880"/>
          </w:tcPr>
          <w:p>
            <w:r>
              <w:t>Discount on collateral value (2% default)</w:t>
            </w:r>
          </w:p>
        </w:tc>
        <w:tc>
          <w:tcPr>
            <w:tcW w:type="dxa" w:w="2880"/>
          </w:tcPr>
          <w:p>
            <w:r>
              <w:t>CSA terms</w:t>
            </w:r>
          </w:p>
        </w:tc>
      </w:tr>
      <w:tr>
        <w:tc>
          <w:tcPr>
            <w:tcW w:type="dxa" w:w="2880"/>
          </w:tcPr>
          <w:p>
            <w:r>
              <w:t>**Hazard Rate (λ)**</w:t>
            </w:r>
          </w:p>
        </w:tc>
        <w:tc>
          <w:tcPr>
            <w:tcW w:type="dxa" w:w="2880"/>
          </w:tcPr>
          <w:p>
            <w:r>
              <w:t>Default intensity: `λ = CDS spread / (1 − RR)`</w:t>
            </w:r>
          </w:p>
        </w:tc>
        <w:tc>
          <w:tcPr>
            <w:tcW w:type="dxa" w:w="2880"/>
          </w:tcPr>
          <w:p>
            <w:r>
              <w:t>CVA pricing</w:t>
            </w:r>
          </w:p>
        </w:tc>
      </w:tr>
      <w:tr>
        <w:tc>
          <w:tcPr>
            <w:tcW w:type="dxa" w:w="2880"/>
          </w:tcPr>
          <w:p>
            <w:r>
              <w:t>**Hull-White**</w:t>
            </w:r>
          </w:p>
        </w:tc>
        <w:tc>
          <w:tcPr>
            <w:tcW w:type="dxa" w:w="2880"/>
          </w:tcPr>
          <w:p>
            <w:r>
              <w:t>1-factor IR model: `dr = κ(θ−r)dt + σᵣdW`</w:t>
            </w:r>
          </w:p>
        </w:tc>
        <w:tc>
          <w:tcPr>
            <w:tcW w:type="dxa" w:w="2880"/>
          </w:tcPr>
          <w:p>
            <w:r>
              <w:t>Market standard</w:t>
            </w:r>
          </w:p>
        </w:tc>
      </w:tr>
      <w:tr>
        <w:tc>
          <w:tcPr>
            <w:tcW w:type="dxa" w:w="2880"/>
          </w:tcPr>
          <w:p>
            <w:r>
              <w:t>**IA**</w:t>
            </w:r>
          </w:p>
        </w:tc>
        <w:tc>
          <w:tcPr>
            <w:tcW w:type="dxa" w:w="2880"/>
          </w:tcPr>
          <w:p>
            <w:r>
              <w:t>Independent Amount — one-way collateral independent of MtM</w:t>
            </w:r>
          </w:p>
        </w:tc>
        <w:tc>
          <w:tcPr>
            <w:tcW w:type="dxa" w:w="2880"/>
          </w:tcPr>
          <w:p>
            <w:r>
              <w:t>CSA terms</w:t>
            </w:r>
          </w:p>
        </w:tc>
      </w:tr>
      <w:tr>
        <w:tc>
          <w:tcPr>
            <w:tcW w:type="dxa" w:w="2880"/>
          </w:tcPr>
          <w:p>
            <w:r>
              <w:t>**ILM**</w:t>
            </w:r>
          </w:p>
        </w:tc>
        <w:tc>
          <w:tcPr>
            <w:tcW w:type="dxa" w:w="2880"/>
          </w:tcPr>
          <w:p>
            <w:r>
              <w:t>Internal Loss Multiplier (Operational Risk, not IMM)</w:t>
            </w:r>
          </w:p>
        </w:tc>
        <w:tc>
          <w:tcPr>
            <w:tcW w:type="dxa" w:w="2880"/>
          </w:tcPr>
          <w:p>
            <w:r>
              <w:t>OPE25</w:t>
            </w:r>
          </w:p>
        </w:tc>
      </w:tr>
      <w:tr>
        <w:tc>
          <w:tcPr>
            <w:tcW w:type="dxa" w:w="2880"/>
          </w:tcPr>
          <w:p>
            <w:r>
              <w:t>**IM**</w:t>
            </w:r>
          </w:p>
        </w:tc>
        <w:tc>
          <w:tcPr>
            <w:tcW w:type="dxa" w:w="2880"/>
          </w:tcPr>
          <w:p>
            <w:r>
              <w:t>Initial Margin received from counterparty</w:t>
            </w:r>
          </w:p>
        </w:tc>
        <w:tc>
          <w:tcPr>
            <w:tcW w:type="dxa" w:w="2880"/>
          </w:tcPr>
          <w:p>
            <w:r>
              <w:t>BCBS-IOSCO UMR</w:t>
            </w:r>
          </w:p>
        </w:tc>
      </w:tr>
      <w:tr>
        <w:tc>
          <w:tcPr>
            <w:tcW w:type="dxa" w:w="2880"/>
          </w:tcPr>
          <w:p>
            <w:r>
              <w:t>**κ (kappa)**</w:t>
            </w:r>
          </w:p>
        </w:tc>
        <w:tc>
          <w:tcPr>
            <w:tcW w:type="dxa" w:w="2880"/>
          </w:tcPr>
          <w:p>
            <w:r>
              <w:t>Mean reversion speed in Hull-White model = 0.10</w:t>
            </w:r>
          </w:p>
        </w:tc>
        <w:tc>
          <w:tcPr>
            <w:tcW w:type="dxa" w:w="2880"/>
          </w:tcPr>
          <w:p>
            <w:r>
              <w:t>Hull-White</w:t>
            </w:r>
          </w:p>
        </w:tc>
      </w:tr>
      <w:tr>
        <w:tc>
          <w:tcPr>
            <w:tcW w:type="dxa" w:w="2880"/>
          </w:tcPr>
          <w:p>
            <w:r>
              <w:t>**Marginal EAD**</w:t>
            </w:r>
          </w:p>
        </w:tc>
        <w:tc>
          <w:tcPr>
            <w:tcW w:type="dxa" w:w="2880"/>
          </w:tcPr>
          <w:p>
            <w:r>
              <w:t>`EAD(full) − EAD(without trade i)` — trade-level risk contribution</w:t>
            </w:r>
          </w:p>
        </w:tc>
        <w:tc>
          <w:tcPr>
            <w:tcW w:type="dxa" w:w="2880"/>
          </w:tcPr>
          <w:p>
            <w:r>
              <w:t>Internal</w:t>
            </w:r>
          </w:p>
        </w:tc>
      </w:tr>
      <w:tr>
        <w:tc>
          <w:tcPr>
            <w:tcW w:type="dxa" w:w="2880"/>
          </w:tcPr>
          <w:p>
            <w:r>
              <w:t>**MtM**</w:t>
            </w:r>
          </w:p>
        </w:tc>
        <w:tc>
          <w:tcPr>
            <w:tcW w:type="dxa" w:w="2880"/>
          </w:tcPr>
          <w:p>
            <w:r>
              <w:t>Mark-to-Market = current fair value of a derivative position</w:t>
            </w:r>
          </w:p>
        </w:tc>
        <w:tc>
          <w:tcPr>
            <w:tcW w:type="dxa" w:w="2880"/>
          </w:tcPr>
          <w:p>
            <w:r>
              <w:t>Accounting</w:t>
            </w:r>
          </w:p>
        </w:tc>
      </w:tr>
      <w:tr>
        <w:tc>
          <w:tcPr>
            <w:tcW w:type="dxa" w:w="2880"/>
          </w:tcPr>
          <w:p>
            <w:r>
              <w:t>**MPOR**</w:t>
            </w:r>
          </w:p>
        </w:tc>
        <w:tc>
          <w:tcPr>
            <w:tcW w:type="dxa" w:w="2880"/>
          </w:tcPr>
          <w:p>
            <w:r>
              <w:t>Margin Period of Risk — days to replace collateral post-default (10 days standard)</w:t>
            </w:r>
          </w:p>
        </w:tc>
        <w:tc>
          <w:tcPr>
            <w:tcW w:type="dxa" w:w="2880"/>
          </w:tcPr>
          <w:p>
            <w:r>
              <w:t>CRE53.22</w:t>
            </w:r>
          </w:p>
        </w:tc>
      </w:tr>
      <w:tr>
        <w:tc>
          <w:tcPr>
            <w:tcW w:type="dxa" w:w="2880"/>
          </w:tcPr>
          <w:p>
            <w:r>
              <w:t>**EEPE_margined**</w:t>
            </w:r>
          </w:p>
        </w:tc>
        <w:tc>
          <w:tcPr>
            <w:tcW w:type="dxa" w:w="2880"/>
          </w:tcPr>
          <w:p>
            <w:r>
              <w:t>EEPE computed on margin-netted exposure paths — CRE53 §margined EEPE preferred metric (v3.9)</w:t>
            </w:r>
          </w:p>
        </w:tc>
        <w:tc>
          <w:tcPr>
            <w:tcW w:type="dxa" w:w="2880"/>
          </w:tcPr>
          <w:p>
            <w:r>
              <w:t>CRE53.14</w:t>
            </w:r>
          </w:p>
        </w:tc>
      </w:tr>
      <w:tr>
        <w:tc>
          <w:tcPr>
            <w:tcW w:type="dxa" w:w="2880"/>
          </w:tcPr>
          <w:p>
            <w:r>
              <w:t>**VM Lag**</w:t>
            </w:r>
          </w:p>
        </w:tc>
        <w:tc>
          <w:tcPr>
            <w:tcW w:type="dxa" w:w="2880"/>
          </w:tcPr>
          <w:p>
            <w:r>
              <w:t>Collateral not received instantly — VM posted MPOR days after margin call; path-level method models this delay</w:t>
            </w:r>
          </w:p>
        </w:tc>
        <w:tc>
          <w:tcPr>
            <w:tcW w:type="dxa" w:w="2880"/>
          </w:tcPr>
          <w:p>
            <w:r>
              <w:t>CRE53.14</w:t>
            </w:r>
          </w:p>
        </w:tc>
      </w:tr>
      <w:tr>
        <w:tc>
          <w:tcPr>
            <w:tcW w:type="dxa" w:w="2880"/>
          </w:tcPr>
          <w:p>
            <w:r>
              <w:t>**im_paths**</w:t>
            </w:r>
          </w:p>
        </w:tc>
        <w:tc>
          <w:tcPr>
            <w:tcW w:type="dxa" w:w="2880"/>
          </w:tcPr>
          <w:p>
            <w:r>
              <w:t>Simulated Initial Margin at each MC node = fixed IM + im_fraction × exposure</w:t>
            </w:r>
          </w:p>
        </w:tc>
        <w:tc>
          <w:tcPr>
            <w:tcW w:type="dxa" w:w="2880"/>
          </w:tcPr>
          <w:p>
            <w:r>
              <w:t>CRE53.23</w:t>
            </w:r>
          </w:p>
        </w:tc>
      </w:tr>
      <w:tr>
        <w:tc>
          <w:tcPr>
            <w:tcW w:type="dxa" w:w="2880"/>
          </w:tcPr>
          <w:p>
            <w:r>
              <w:t>**vm_paths**</w:t>
            </w:r>
          </w:p>
        </w:tc>
        <w:tc>
          <w:tcPr>
            <w:tcW w:type="dxa" w:w="2880"/>
          </w:tcPr>
          <w:p>
            <w:r>
              <w:t>Simulated VM at each MC node = MPOR-lagged call amount × (1 − haircut)</w:t>
            </w:r>
          </w:p>
        </w:tc>
        <w:tc>
          <w:tcPr>
            <w:tcW w:type="dxa" w:w="2880"/>
          </w:tcPr>
          <w:p>
            <w:r>
              <w:t>CRE53.14</w:t>
            </w:r>
          </w:p>
        </w:tc>
      </w:tr>
      <w:tr>
        <w:tc>
          <w:tcPr>
            <w:tcW w:type="dxa" w:w="2880"/>
          </w:tcPr>
          <w:p>
            <w:r>
              <w:t>**CRE53-PATH-LEVEL**</w:t>
            </w:r>
          </w:p>
        </w:tc>
        <w:tc>
          <w:tcPr>
            <w:tcW w:type="dxa" w:w="2880"/>
          </w:tcPr>
          <w:p>
            <w:r>
              <w:t>Trace code: Tier 1 path-level margined EEPE method active</w:t>
            </w:r>
          </w:p>
        </w:tc>
        <w:tc>
          <w:tcPr>
            <w:tcW w:type="dxa" w:w="2880"/>
          </w:tcPr>
          <w:p>
            <w:r>
              <w:t>v3.9</w:t>
            </w:r>
          </w:p>
        </w:tc>
      </w:tr>
      <w:tr>
        <w:tc>
          <w:tcPr>
            <w:tcW w:type="dxa" w:w="2880"/>
          </w:tcPr>
          <w:p>
            <w:r>
              <w:t>**CRE53-APPROX-FALLBACK**</w:t>
            </w:r>
          </w:p>
        </w:tc>
        <w:tc>
          <w:tcPr>
            <w:tcW w:type="dxa" w:w="2880"/>
          </w:tcPr>
          <w:p>
            <w:r>
              <w:t>Trace code: Tier 2 CRE53.22 approximation used (no exposure_paths stored)</w:t>
            </w:r>
          </w:p>
        </w:tc>
        <w:tc>
          <w:tcPr>
            <w:tcW w:type="dxa" w:w="2880"/>
          </w:tcPr>
          <w:p>
            <w:r>
              <w:t>CRE53.22</w:t>
            </w:r>
          </w:p>
        </w:tc>
      </w:tr>
      <w:tr>
        <w:tc>
          <w:tcPr>
            <w:tcW w:type="dxa" w:w="2880"/>
          </w:tcPr>
          <w:p>
            <w:r>
              <w:t>**MTA**</w:t>
            </w:r>
          </w:p>
        </w:tc>
        <w:tc>
          <w:tcPr>
            <w:tcW w:type="dxa" w:w="2880"/>
          </w:tcPr>
          <w:p>
            <w:r>
              <w:t>Minimum Transfer Amount — smallest collateral call</w:t>
            </w:r>
          </w:p>
        </w:tc>
        <w:tc>
          <w:tcPr>
            <w:tcW w:type="dxa" w:w="2880"/>
          </w:tcPr>
          <w:p>
            <w:r>
              <w:t>CSA terms</w:t>
            </w:r>
          </w:p>
        </w:tc>
      </w:tr>
      <w:tr>
        <w:tc>
          <w:tcPr>
            <w:tcW w:type="dxa" w:w="2880"/>
          </w:tcPr>
          <w:p>
            <w:r>
              <w:t>**NICA**</w:t>
            </w:r>
          </w:p>
        </w:tc>
        <w:tc>
          <w:tcPr>
            <w:tcW w:type="dxa" w:w="2880"/>
          </w:tcPr>
          <w:p>
            <w:r>
              <w:t>Net Independent Collateral Amount = IM received</w:t>
            </w:r>
          </w:p>
        </w:tc>
        <w:tc>
          <w:tcPr>
            <w:tcW w:type="dxa" w:w="2880"/>
          </w:tcPr>
          <w:p>
            <w:r>
              <w:t>CRE52.18</w:t>
            </w:r>
          </w:p>
        </w:tc>
      </w:tr>
      <w:tr>
        <w:tc>
          <w:tcPr>
            <w:tcW w:type="dxa" w:w="2880"/>
          </w:tcPr>
          <w:p>
            <w:r>
              <w:t>**Netting Set**</w:t>
            </w:r>
          </w:p>
        </w:tc>
        <w:tc>
          <w:tcPr>
            <w:tcW w:type="dxa" w:w="2880"/>
          </w:tcPr>
          <w:p>
            <w:r>
              <w:t>Group of trades under a single enforceable netting agreement</w:t>
            </w:r>
          </w:p>
        </w:tc>
        <w:tc>
          <w:tcPr>
            <w:tcW w:type="dxa" w:w="2880"/>
          </w:tcPr>
          <w:p>
            <w:r>
              <w:t>CCR definition</w:t>
            </w:r>
          </w:p>
        </w:tc>
      </w:tr>
      <w:tr>
        <w:tc>
          <w:tcPr>
            <w:tcW w:type="dxa" w:w="2880"/>
          </w:tcPr>
          <w:p>
            <w:r>
              <w:t>**PFE(t)**</w:t>
            </w:r>
          </w:p>
        </w:tc>
        <w:tc>
          <w:tcPr>
            <w:tcW w:type="dxa" w:w="2880"/>
          </w:tcPr>
          <w:p>
            <w:r>
              <w:t>Potential Future Exposure = 95th percentile exposure at time t</w:t>
            </w:r>
          </w:p>
        </w:tc>
        <w:tc>
          <w:tcPr>
            <w:tcW w:type="dxa" w:w="2880"/>
          </w:tcPr>
          <w:p>
            <w:r>
              <w:t>Limit management</w:t>
            </w:r>
          </w:p>
        </w:tc>
      </w:tr>
      <w:tr>
        <w:tc>
          <w:tcPr>
            <w:tcW w:type="dxa" w:w="2880"/>
          </w:tcPr>
          <w:p>
            <w:r>
              <w:t>**RC_csa**</w:t>
            </w:r>
          </w:p>
        </w:tc>
        <w:tc>
          <w:tcPr>
            <w:tcW w:type="dxa" w:w="2880"/>
          </w:tcPr>
          <w:p>
            <w:r>
              <w:t>Replacement Cost under CSA = `max(V−C, TH+MTA−NICA, 0)`</w:t>
            </w:r>
          </w:p>
        </w:tc>
        <w:tc>
          <w:tcPr>
            <w:tcW w:type="dxa" w:w="2880"/>
          </w:tcPr>
          <w:p>
            <w:r>
              <w:t>CRE52.18</w:t>
            </w:r>
          </w:p>
        </w:tc>
      </w:tr>
      <w:tr>
        <w:tc>
          <w:tcPr>
            <w:tcW w:type="dxa" w:w="2880"/>
          </w:tcPr>
          <w:p>
            <w:r>
              <w:t>**Recovery Rate (RR)**</w:t>
            </w:r>
          </w:p>
        </w:tc>
        <w:tc>
          <w:tcPr>
            <w:tcW w:type="dxa" w:w="2880"/>
          </w:tcPr>
          <w:p>
            <w:r>
              <w:t>Expected recovery on default = **40%**</w:t>
            </w:r>
          </w:p>
        </w:tc>
        <w:tc>
          <w:tcPr>
            <w:tcW w:type="dxa" w:w="2880"/>
          </w:tcPr>
          <w:p>
            <w:r>
              <w:t>Basel standard</w:t>
            </w:r>
          </w:p>
        </w:tc>
      </w:tr>
      <w:tr>
        <w:tc>
          <w:tcPr>
            <w:tcW w:type="dxa" w:w="2880"/>
          </w:tcPr>
          <w:p>
            <w:r>
              <w:t>**RWA**</w:t>
            </w:r>
          </w:p>
        </w:tc>
        <w:tc>
          <w:tcPr>
            <w:tcW w:type="dxa" w:w="2880"/>
          </w:tcPr>
          <w:p>
            <w:r>
              <w:t>Risk-Weighted Assets = `EAD × RW × 12.5`</w:t>
            </w:r>
          </w:p>
        </w:tc>
        <w:tc>
          <w:tcPr>
            <w:tcW w:type="dxa" w:w="2880"/>
          </w:tcPr>
          <w:p>
            <w:r>
              <w:t>CRE20</w:t>
            </w:r>
          </w:p>
        </w:tc>
      </w:tr>
      <w:tr>
        <w:tc>
          <w:tcPr>
            <w:tcW w:type="dxa" w:w="2880"/>
          </w:tcPr>
          <w:p>
            <w:r>
              <w:t>**Stressed EEPE**</w:t>
            </w:r>
          </w:p>
        </w:tc>
        <w:tc>
          <w:tcPr>
            <w:tcW w:type="dxa" w:w="2880"/>
          </w:tcPr>
          <w:p>
            <w:r>
              <w:t>EEPE computed with 2007–09 stressed volatilities</w:t>
            </w:r>
          </w:p>
        </w:tc>
        <w:tc>
          <w:tcPr>
            <w:tcW w:type="dxa" w:w="2880"/>
          </w:tcPr>
          <w:p>
            <w:r>
              <w:t>CRE53.17</w:t>
            </w:r>
          </w:p>
        </w:tc>
      </w:tr>
      <w:tr>
        <w:tc>
          <w:tcPr>
            <w:tcW w:type="dxa" w:w="2880"/>
          </w:tcPr>
          <w:p>
            <w:r>
              <w:t>**θ (theta)**</w:t>
            </w:r>
          </w:p>
        </w:tc>
        <w:tc>
          <w:tcPr>
            <w:tcW w:type="dxa" w:w="2880"/>
          </w:tcPr>
          <w:p>
            <w:r>
              <w:t>Long-run mean rate in Hull-White model = 0.045</w:t>
            </w:r>
          </w:p>
        </w:tc>
        <w:tc>
          <w:tcPr>
            <w:tcW w:type="dxa" w:w="2880"/>
          </w:tcPr>
          <w:p>
            <w:r>
              <w:t>Hull-White</w:t>
            </w:r>
          </w:p>
        </w:tc>
      </w:tr>
      <w:tr>
        <w:tc>
          <w:tcPr>
            <w:tcW w:type="dxa" w:w="2880"/>
          </w:tcPr>
          <w:p>
            <w:r>
              <w:t>**TH**</w:t>
            </w:r>
          </w:p>
        </w:tc>
        <w:tc>
          <w:tcPr>
            <w:tcW w:type="dxa" w:w="2880"/>
          </w:tcPr>
          <w:p>
            <w:r>
              <w:t>Threshold — minimum exposure triggering a collateral call</w:t>
            </w:r>
          </w:p>
        </w:tc>
        <w:tc>
          <w:tcPr>
            <w:tcW w:type="dxa" w:w="2880"/>
          </w:tcPr>
          <w:p>
            <w:r>
              <w:t>CSA terms</w:t>
            </w:r>
          </w:p>
        </w:tc>
      </w:tr>
      <w:tr>
        <w:tc>
          <w:tcPr>
            <w:tcW w:type="dxa" w:w="2880"/>
          </w:tcPr>
          <w:p>
            <w:r>
              <w:t>**Time Grid**</w:t>
            </w:r>
          </w:p>
        </w:tc>
        <w:tc>
          <w:tcPr>
            <w:tcW w:type="dxa" w:w="2880"/>
          </w:tcPr>
          <w:p>
            <w:r>
              <w:t>Vector of 52 weekly time points from dt to 1.0 year</w:t>
            </w:r>
          </w:p>
        </w:tc>
        <w:tc>
          <w:tcPr>
            <w:tcW w:type="dxa" w:w="2880"/>
          </w:tcPr>
          <w:p>
            <w:r>
              <w:t>Simulation</w:t>
            </w:r>
          </w:p>
        </w:tc>
      </w:tr>
      <w:tr>
        <w:tc>
          <w:tcPr>
            <w:tcW w:type="dxa" w:w="2880"/>
          </w:tcPr>
          <w:p>
            <w:r>
              <w:t>**V**</w:t>
            </w:r>
          </w:p>
        </w:tc>
        <w:tc>
          <w:tcPr>
            <w:tcW w:type="dxa" w:w="2880"/>
          </w:tcPr>
          <w:p>
            <w:r>
              <w:t>Current net MtM of the netting set</w:t>
            </w:r>
          </w:p>
        </w:tc>
        <w:tc>
          <w:tcPr>
            <w:tcW w:type="dxa" w:w="2880"/>
          </w:tcPr>
          <w:p>
            <w:r>
              <w:t>CRE52.18</w:t>
            </w:r>
          </w:p>
        </w:tc>
      </w:tr>
      <w:tr>
        <w:tc>
          <w:tcPr>
            <w:tcW w:type="dxa" w:w="2880"/>
          </w:tcPr>
          <w:p>
            <w:r>
              <w:t>**VM**</w:t>
            </w:r>
          </w:p>
        </w:tc>
        <w:tc>
          <w:tcPr>
            <w:tcW w:type="dxa" w:w="2880"/>
          </w:tcPr>
          <w:p>
            <w:r>
              <w:t>Variation Margin received from counterparty — in path-level model, simulated as MPOR-lagged call amounts</w:t>
            </w:r>
          </w:p>
        </w:tc>
        <w:tc>
          <w:tcPr>
            <w:tcW w:type="dxa" w:w="2880"/>
          </w:tcPr>
          <w:p>
            <w:r>
              <w:t>CSA / CRE53.14</w:t>
            </w:r>
          </w:p>
        </w:tc>
      </w:tr>
      <w:tr>
        <w:tc>
          <w:tcPr>
            <w:tcW w:type="dxa" w:w="2880"/>
          </w:tcPr>
          <w:p>
            <w:r>
              <w:t>**Vega**</w:t>
            </w:r>
          </w:p>
        </w:tc>
        <w:tc>
          <w:tcPr>
            <w:tcW w:type="dxa" w:w="2880"/>
          </w:tcPr>
          <w:p>
            <w:r>
              <w:t>Sensitivity of EAD to volatility: `∂EAD/∂σ`</w:t>
            </w:r>
          </w:p>
        </w:tc>
        <w:tc>
          <w:tcPr>
            <w:tcW w:type="dxa" w:w="2880"/>
          </w:tcPr>
          <w:p>
            <w:r>
              <w:t>Sensitivity</w:t>
            </w:r>
          </w:p>
        </w:tc>
      </w:tr>
      <w:tr>
        <w:tc>
          <w:tcPr>
            <w:tcW w:type="dxa" w:w="2880"/>
          </w:tcPr>
          <w:p>
            <w:r>
              <w:t>**Wrong-Way Risk**</w:t>
            </w:r>
          </w:p>
        </w:tc>
        <w:tc>
          <w:tcPr>
            <w:tcW w:type="dxa" w:w="2880"/>
          </w:tcPr>
          <w:p>
            <w:r>
              <w:t>Correlation between counterparty default and exposure magnitude</w:t>
            </w:r>
          </w:p>
        </w:tc>
        <w:tc>
          <w:tcPr>
            <w:tcW w:type="dxa" w:w="2880"/>
          </w:tcPr>
          <w:p>
            <w:r>
              <w:t>CRE53</w:t>
            </w:r>
          </w:p>
        </w:tc>
      </w:tr>
    </w:tbl>
    <w:p>
      <w:pPr>
        <w:pStyle w:val="Heading2"/>
        <w:jc w:val="left"/>
      </w:pPr>
      <w:r>
        <w:t>Appendix A: Monte Carlo Simulation Walk-Through — Single Equity Trade</w:t>
      </w:r>
    </w:p>
    <w:p>
      <w:r>
        <w:t xml:space="preserve">&gt; </w:t>
      </w:r>
      <w:r>
        <w:rPr>
          <w:b/>
        </w:rPr>
        <w:t>Purpose:</w:t>
      </w:r>
      <w:r>
        <w:t xml:space="preserve"> This appendix is designed for non-quantitative stakeholders (CRO, Board Risk Committee, Regulators). It walks through every step of the Monte Carlo simulation for a single equity trade in plain language, with concrete numbers, to illustrate exactly how the exposure metrics — </w:t>
      </w:r>
      <w:r>
        <w:rPr>
          <w:b/>
        </w:rPr>
        <w:t>EPE, EEPE, EEE, and PFE</w:t>
      </w:r>
      <w:r>
        <w:t xml:space="preserve"> — are derived.</w:t>
      </w:r>
    </w:p>
    <w:p>
      <w:pPr>
        <w:pStyle w:val="Heading3"/>
        <w:jc w:val="left"/>
      </w:pPr>
      <w:r>
        <w:t>A.1 The Trade</w:t>
      </w:r>
    </w:p>
    <w:p>
      <w:r>
        <w:t xml:space="preserve">&gt; </w:t>
      </w:r>
      <w:r>
        <w:rPr>
          <w:b/>
        </w:rPr>
        <w:t>Product:</w:t>
      </w:r>
      <w:r>
        <w:t xml:space="preserve"> Equity Total Return Swap (TRS)</w:t>
      </w:r>
    </w:p>
    <w:p>
      <w:r>
        <w:t xml:space="preserve">&gt; </w:t>
      </w:r>
      <w:r>
        <w:rPr>
          <w:b/>
        </w:rPr>
        <w:t>Underlying:</w:t>
      </w:r>
      <w:r>
        <w:t xml:space="preserve"> Hypothetical large-cap equity (e.g., bank holds a long TRS on a single stock)</w:t>
      </w:r>
    </w:p>
    <w:p>
      <w:r>
        <w:t xml:space="preserve">&gt; </w:t>
      </w:r>
      <w:r>
        <w:rPr>
          <w:b/>
        </w:rPr>
        <w:t>Notional:</w:t>
      </w:r>
      <w:r>
        <w:t xml:space="preserve"> USD 10,000,000</w:t>
      </w:r>
    </w:p>
    <w:p>
      <w:r>
        <w:t xml:space="preserve">&gt; </w:t>
      </w:r>
      <w:r>
        <w:rPr>
          <w:b/>
        </w:rPr>
        <w:t>Direction:</w:t>
      </w:r>
      <w:r>
        <w:t xml:space="preserve"> Long (+1) — bank receives equity returns, pays LIBOR</w:t>
      </w:r>
    </w:p>
    <w:p>
      <w:r>
        <w:t xml:space="preserve">&gt; </w:t>
      </w:r>
      <w:r>
        <w:rPr>
          <w:b/>
        </w:rPr>
        <w:t>Maturity:</w:t>
      </w:r>
      <w:r>
        <w:t xml:space="preserve"> 1 year</w:t>
      </w:r>
    </w:p>
    <w:p>
      <w:r>
        <w:t xml:space="preserve">&gt; </w:t>
      </w:r>
      <w:r>
        <w:rPr>
          <w:b/>
        </w:rPr>
        <w:t>Initial Stock Price (S₀):</w:t>
      </w:r>
      <w:r>
        <w:t xml:space="preserve"> 100</w:t>
      </w:r>
    </w:p>
    <w:p>
      <w:r>
        <w:t xml:space="preserve">&gt; </w:t>
      </w:r>
      <w:r>
        <w:rPr>
          <w:b/>
        </w:rPr>
        <w:t>Annual Volatility (σ):</w:t>
      </w:r>
      <w:r>
        <w:t xml:space="preserve"> 20%</w:t>
      </w:r>
    </w:p>
    <w:p>
      <w:r>
        <w:t xml:space="preserve">&gt; </w:t>
      </w:r>
      <w:r>
        <w:rPr>
          <w:b/>
        </w:rPr>
        <w:t>Annual Drift (μ):</w:t>
      </w:r>
      <w:r>
        <w:t xml:space="preserve"> 5%</w:t>
      </w:r>
    </w:p>
    <w:p>
      <w:r>
        <w:rPr>
          <w:b/>
        </w:rPr>
        <w:t>What does "exposure" mean for this trade?</w:t>
      </w:r>
    </w:p>
    <w:p>
      <w:r>
        <w:t xml:space="preserve">If the stock goes UP from 100 to 110, the trade is worth +10% × $10M = </w:t>
      </w:r>
      <w:r>
        <w:rPr>
          <w:b/>
        </w:rPr>
        <w:t>+$1,000,000</w:t>
      </w:r>
      <w:r>
        <w:t xml:space="preserve"> to the bank. If the counterparty defaults at that moment, the bank </w:t>
      </w:r>
      <w:r>
        <w:rPr>
          <w:b/>
        </w:rPr>
        <w:t>loses</w:t>
      </w:r>
      <w:r>
        <w:t xml:space="preserve"> $1,000,000.</w:t>
      </w:r>
    </w:p>
    <w:p>
      <w:r>
        <w:t xml:space="preserve">If the stock goes DOWN from 100 to 90, the trade is worth −10% × $10M = </w:t>
      </w:r>
      <w:r>
        <w:rPr>
          <w:b/>
        </w:rPr>
        <w:t>−$1,000,000</w:t>
      </w:r>
      <w:r>
        <w:t xml:space="preserve"> to the bank. If the counterparty defaults, the bank owes them money — so the bank's </w:t>
      </w:r>
      <w:r>
        <w:rPr>
          <w:b/>
        </w:rPr>
        <w:t>loss is zero</w:t>
      </w:r>
      <w:r>
        <w:t xml:space="preserve"> (it walks away).</w:t>
      </w:r>
    </w:p>
    <w:p>
      <w:r>
        <w:t>This asymmetry — "I only lose when the trade is in my favour" — is the fundamental logic of `Exposure = max(MtM, 0)`.</w:t>
      </w:r>
    </w:p>
    <w:p>
      <w:pPr>
        <w:pStyle w:val="Heading3"/>
        <w:jc w:val="left"/>
      </w:pPr>
      <w:r>
        <w:t>A.2 Setting Up the Simulation</w:t>
      </w:r>
    </w:p>
    <w:p>
      <w:r>
        <w:t xml:space="preserve">The engine runs </w:t>
      </w:r>
      <w:r>
        <w:rPr>
          <w:b/>
        </w:rPr>
        <w:t>4,000 scenarios</w:t>
      </w:r>
      <w:r>
        <w:t xml:space="preserve"> (2,000 base + 2,000 antithetic) over </w:t>
      </w:r>
      <w:r>
        <w:rPr>
          <w:b/>
        </w:rPr>
        <w:t>52 weekly time steps</w:t>
      </w:r>
      <w:r>
        <w:t xml:space="preserve"> (1 year).</w:t>
      </w:r>
    </w:p>
    <w:p>
      <w:r>
        <w:t xml:space="preserve">Each scenario is one possible "future history" of the stock price. Here is a simplified illustration with </w:t>
      </w:r>
      <w:r>
        <w:rPr>
          <w:b/>
        </w:rPr>
        <w:t>just 6 scenarios</w:t>
      </w:r>
      <w:r>
        <w:t xml:space="preserve"> to make the arithmetic transparent:</w:t>
      </w:r>
    </w:p>
    <w:p>
      <w:pPr>
        <w:shd w:fill="F5F5F5"/>
      </w:pPr>
      <w:r>
        <w:rPr>
          <w:rFonts w:ascii="Courier New" w:hAnsi="Courier New"/>
          <w:color w:val="404040"/>
          <w:sz w:val="16"/>
        </w:rPr>
        <w:t>Parameters:</w:t>
      </w:r>
    </w:p>
    <w:p>
      <w:pPr>
        <w:shd w:fill="F5F5F5"/>
      </w:pPr>
      <w:r>
        <w:rPr>
          <w:rFonts w:ascii="Courier New" w:hAnsi="Courier New"/>
          <w:color w:val="404040"/>
          <w:sz w:val="16"/>
        </w:rPr>
        <w:t xml:space="preserve">  S₀    = 100        (initial stock price, normalised)</w:t>
      </w:r>
    </w:p>
    <w:p>
      <w:pPr>
        <w:shd w:fill="F5F5F5"/>
      </w:pPr>
      <w:r>
        <w:rPr>
          <w:rFonts w:ascii="Courier New" w:hAnsi="Courier New"/>
          <w:color w:val="404040"/>
          <w:sz w:val="16"/>
        </w:rPr>
        <w:t xml:space="preserve">  σ     = 20%        (annual volatility)</w:t>
      </w:r>
    </w:p>
    <w:p>
      <w:pPr>
        <w:shd w:fill="F5F5F5"/>
      </w:pPr>
      <w:r>
        <w:rPr>
          <w:rFonts w:ascii="Courier New" w:hAnsi="Courier New"/>
          <w:color w:val="404040"/>
          <w:sz w:val="16"/>
        </w:rPr>
        <w:t xml:space="preserve">  μ     = 5%         (annual drift)</w:t>
      </w:r>
    </w:p>
    <w:p>
      <w:pPr>
        <w:shd w:fill="F5F5F5"/>
      </w:pPr>
      <w:r>
        <w:rPr>
          <w:rFonts w:ascii="Courier New" w:hAnsi="Courier New"/>
          <w:color w:val="404040"/>
          <w:sz w:val="16"/>
        </w:rPr>
        <w:t xml:space="preserve">  dt    = 1/52 year  (one week)</w:t>
      </w:r>
    </w:p>
    <w:p>
      <w:pPr>
        <w:shd w:fill="F5F5F5"/>
      </w:pPr>
      <w:r>
        <w:rPr>
          <w:rFonts w:ascii="Courier New" w:hAnsi="Courier New"/>
          <w:color w:val="404040"/>
          <w:sz w:val="16"/>
        </w:rPr>
        <w:t xml:space="preserve">  σ²/2  = 0.02       (Itô correction — prevents upward bias)</w:t>
      </w:r>
    </w:p>
    <w:p>
      <w:pPr>
        <w:shd w:fill="F5F5F5"/>
      </w:pPr>
      <w:r>
        <w:rPr>
          <w:rFonts w:ascii="Courier New" w:hAnsi="Courier New"/>
          <w:color w:val="404040"/>
          <w:sz w:val="16"/>
        </w:rPr>
        <w:t>GBM formula:</w:t>
      </w:r>
    </w:p>
    <w:p>
      <w:pPr>
        <w:shd w:fill="F5F5F5"/>
      </w:pPr>
      <w:r>
        <w:rPr>
          <w:rFonts w:ascii="Courier New" w:hAnsi="Courier New"/>
          <w:color w:val="404040"/>
          <w:sz w:val="16"/>
        </w:rPr>
        <w:t xml:space="preserve">  S(t+dt) = S(t) × exp[(μ − σ²/2)×dt + σ×√dt × Z]</w:t>
      </w:r>
    </w:p>
    <w:p>
      <w:pPr>
        <w:shd w:fill="F5F5F5"/>
      </w:pPr>
      <w:r>
        <w:rPr>
          <w:rFonts w:ascii="Courier New" w:hAnsi="Courier New"/>
          <w:color w:val="404040"/>
          <w:sz w:val="16"/>
        </w:rPr>
        <w:t xml:space="preserve">           = S(t) × exp[0.0288×dt + 0.20×0.1386 × Z]</w:t>
      </w:r>
    </w:p>
    <w:p>
      <w:pPr>
        <w:shd w:fill="F5F5F5"/>
      </w:pPr>
      <w:r>
        <w:rPr>
          <w:rFonts w:ascii="Courier New" w:hAnsi="Courier New"/>
          <w:color w:val="404040"/>
          <w:sz w:val="16"/>
        </w:rPr>
        <w:t xml:space="preserve">           where Z ~ N(0,1)</w:t>
      </w:r>
    </w:p>
    <w:p>
      <w:pPr>
        <w:pStyle w:val="Heading3"/>
        <w:jc w:val="left"/>
      </w:pPr>
      <w:r>
        <w:t>A.3 Six Illustrative Scenarios — Stock Price Paths</w:t>
      </w:r>
    </w:p>
    <w:p>
      <w:r>
        <w:t xml:space="preserve">For clarity we show the stock price at </w:t>
      </w:r>
      <w:r>
        <w:rPr>
          <w:b/>
        </w:rPr>
        <w:t>4 selected time points</w:t>
      </w:r>
      <w:r>
        <w:t>: 3 months (t=13), 6 months (t=26), 9 months (t=39), 12 months (t=52).</w:t>
      </w:r>
    </w:p>
    <w:p>
      <w:pPr>
        <w:shd w:fill="F5F5F5"/>
      </w:pPr>
      <w:r>
        <w:rPr>
          <w:rFonts w:ascii="Courier New" w:hAnsi="Courier New"/>
          <w:color w:val="404040"/>
          <w:sz w:val="16"/>
        </w:rPr>
        <w:t>Scenario | 3m (t=13)  | 6m (t=26)  | 9m (t=39)  | 12m (t=52) | Outcome</w:t>
      </w:r>
    </w:p>
    <w:p>
      <w:pPr>
        <w:shd w:fill="F5F5F5"/>
      </w:pPr>
      <w:r>
        <w:rPr>
          <w:rFonts w:ascii="Courier New" w:hAnsi="Courier New"/>
          <w:color w:val="404040"/>
          <w:sz w:val="16"/>
        </w:rPr>
        <w:t>─────────────────────────────────────────────────────────────────────────</w:t>
      </w:r>
    </w:p>
    <w:p>
      <w:pPr>
        <w:shd w:fill="F5F5F5"/>
      </w:pPr>
      <w:r>
        <w:rPr>
          <w:rFonts w:ascii="Courier New" w:hAnsi="Courier New"/>
          <w:color w:val="404040"/>
          <w:sz w:val="16"/>
        </w:rPr>
        <w:t xml:space="preserve">  #1      |   108       |   115       |   123       |   130      | Strong bull</w:t>
      </w:r>
    </w:p>
    <w:p>
      <w:pPr>
        <w:shd w:fill="F5F5F5"/>
      </w:pPr>
      <w:r>
        <w:rPr>
          <w:rFonts w:ascii="Courier New" w:hAnsi="Courier New"/>
          <w:color w:val="404040"/>
          <w:sz w:val="16"/>
        </w:rPr>
        <w:t xml:space="preserve">  #2      |   104       |   107       |   110       |   105      | Modest up / fade</w:t>
      </w:r>
    </w:p>
    <w:p>
      <w:pPr>
        <w:shd w:fill="F5F5F5"/>
      </w:pPr>
      <w:r>
        <w:rPr>
          <w:rFonts w:ascii="Courier New" w:hAnsi="Courier New"/>
          <w:color w:val="404040"/>
          <w:sz w:val="16"/>
        </w:rPr>
        <w:t xml:space="preserve">  #3      |    98       |   102       |    96       |   100      | Flat / sideways</w:t>
      </w:r>
    </w:p>
    <w:p>
      <w:pPr>
        <w:shd w:fill="F5F5F5"/>
      </w:pPr>
      <w:r>
        <w:rPr>
          <w:rFonts w:ascii="Courier New" w:hAnsi="Courier New"/>
          <w:color w:val="404040"/>
          <w:sz w:val="16"/>
        </w:rPr>
        <w:t xml:space="preserve">  #4      |    93       |    88       |    82       |    78      | Steady bear</w:t>
      </w:r>
    </w:p>
    <w:p>
      <w:pPr>
        <w:shd w:fill="F5F5F5"/>
      </w:pPr>
      <w:r>
        <w:rPr>
          <w:rFonts w:ascii="Courier New" w:hAnsi="Courier New"/>
          <w:color w:val="404040"/>
          <w:sz w:val="16"/>
        </w:rPr>
        <w:t xml:space="preserve">  #5      |   112       |    95       |    88       |    92      | Spike then fall</w:t>
      </w:r>
    </w:p>
    <w:p>
      <w:pPr>
        <w:shd w:fill="F5F5F5"/>
      </w:pPr>
      <w:r>
        <w:rPr>
          <w:rFonts w:ascii="Courier New" w:hAnsi="Courier New"/>
          <w:color w:val="404040"/>
          <w:sz w:val="16"/>
        </w:rPr>
        <w:t xml:space="preserve">  #6      |    86       |    72       |    65       |    58      | Severe bear</w:t>
      </w:r>
    </w:p>
    <w:p>
      <w:pPr>
        <w:shd w:fill="F5F5F5"/>
      </w:pPr>
      <w:r>
        <w:rPr>
          <w:rFonts w:ascii="Courier New" w:hAnsi="Courier New"/>
          <w:color w:val="404040"/>
          <w:sz w:val="16"/>
        </w:rPr>
        <w:t>─────────────────────────────────────────────────────────────────────────</w:t>
      </w:r>
    </w:p>
    <w:p>
      <w:pPr>
        <w:shd w:fill="F5F5F5"/>
      </w:pPr>
      <w:r>
        <w:rPr>
          <w:rFonts w:ascii="Courier New" w:hAnsi="Courier New"/>
          <w:color w:val="404040"/>
          <w:sz w:val="16"/>
        </w:rPr>
        <w:t>(antithetic paths mirror each scenario with −Z — they ensure symmetry)</w:t>
      </w:r>
    </w:p>
    <w:p>
      <w:r>
        <w:rPr>
          <w:b/>
        </w:rPr>
        <w:t>Visualisation of the 6 paths:</w:t>
      </w:r>
    </w:p>
    <w:p>
      <w:pPr>
        <w:shd w:fill="F5F5F5"/>
      </w:pPr>
      <w:r>
        <w:rPr>
          <w:rFonts w:ascii="Courier New" w:hAnsi="Courier New"/>
          <w:color w:val="404040"/>
          <w:sz w:val="16"/>
        </w:rPr>
        <w:t>Stock Price</w:t>
      </w:r>
    </w:p>
    <w:p>
      <w:pPr>
        <w:shd w:fill="F5F5F5"/>
      </w:pPr>
      <w:r>
        <w:rPr>
          <w:rFonts w:ascii="Courier New" w:hAnsi="Courier New"/>
          <w:color w:val="404040"/>
          <w:sz w:val="16"/>
        </w:rPr>
        <w:t xml:space="preserve">  130 |                              ●  (Sc.1)</w:t>
      </w:r>
    </w:p>
    <w:p>
      <w:pPr>
        <w:shd w:fill="F5F5F5"/>
      </w:pPr>
      <w:r>
        <w:rPr>
          <w:rFonts w:ascii="Courier New" w:hAnsi="Courier New"/>
          <w:color w:val="404040"/>
          <w:sz w:val="16"/>
        </w:rPr>
        <w:t xml:space="preserve">  125 |</w:t>
      </w:r>
    </w:p>
    <w:p>
      <w:pPr>
        <w:shd w:fill="F5F5F5"/>
      </w:pPr>
      <w:r>
        <w:rPr>
          <w:rFonts w:ascii="Courier New" w:hAnsi="Courier New"/>
          <w:color w:val="404040"/>
          <w:sz w:val="16"/>
        </w:rPr>
        <w:t xml:space="preserve">  120 |                   ●  (Sc.1)</w:t>
      </w:r>
    </w:p>
    <w:p>
      <w:pPr>
        <w:shd w:fill="F5F5F5"/>
      </w:pPr>
      <w:r>
        <w:rPr>
          <w:rFonts w:ascii="Courier New" w:hAnsi="Courier New"/>
          <w:color w:val="404040"/>
          <w:sz w:val="16"/>
        </w:rPr>
        <w:t xml:space="preserve">  115 |          ●  (Sc.1)</w:t>
      </w:r>
    </w:p>
    <w:p>
      <w:pPr>
        <w:shd w:fill="F5F5F5"/>
      </w:pPr>
      <w:r>
        <w:rPr>
          <w:rFonts w:ascii="Courier New" w:hAnsi="Courier New"/>
          <w:color w:val="404040"/>
          <w:sz w:val="16"/>
        </w:rPr>
        <w:t xml:space="preserve">  112 |          ●  (Sc.5)</w:t>
      </w:r>
    </w:p>
    <w:p>
      <w:pPr>
        <w:shd w:fill="F5F5F5"/>
      </w:pPr>
      <w:r>
        <w:rPr>
          <w:rFonts w:ascii="Courier New" w:hAnsi="Courier New"/>
          <w:color w:val="404040"/>
          <w:sz w:val="16"/>
        </w:rPr>
        <w:t xml:space="preserve">  110 |                   ●  (Sc.2)</w:t>
      </w:r>
    </w:p>
    <w:p>
      <w:pPr>
        <w:shd w:fill="F5F5F5"/>
      </w:pPr>
      <w:r>
        <w:rPr>
          <w:rFonts w:ascii="Courier New" w:hAnsi="Courier New"/>
          <w:color w:val="404040"/>
          <w:sz w:val="16"/>
        </w:rPr>
        <w:t xml:space="preserve">  108 |  ●  (Sc.1)                ●  (Sc.2)</w:t>
      </w:r>
    </w:p>
    <w:p>
      <w:pPr>
        <w:shd w:fill="F5F5F5"/>
      </w:pPr>
      <w:r>
        <w:rPr>
          <w:rFonts w:ascii="Courier New" w:hAnsi="Courier New"/>
          <w:color w:val="404040"/>
          <w:sz w:val="16"/>
        </w:rPr>
        <w:t xml:space="preserve">  107 |          ●  (Sc.2)</w:t>
      </w:r>
    </w:p>
    <w:p>
      <w:pPr>
        <w:shd w:fill="F5F5F5"/>
      </w:pPr>
      <w:r>
        <w:rPr>
          <w:rFonts w:ascii="Courier New" w:hAnsi="Courier New"/>
          <w:color w:val="404040"/>
          <w:sz w:val="16"/>
        </w:rPr>
        <w:t xml:space="preserve">  105 |  ●  (Sc.2)</w:t>
      </w:r>
    </w:p>
    <w:p>
      <w:pPr>
        <w:shd w:fill="F5F5F5"/>
      </w:pPr>
      <w:r>
        <w:rPr>
          <w:rFonts w:ascii="Courier New" w:hAnsi="Courier New"/>
          <w:color w:val="404040"/>
          <w:sz w:val="16"/>
        </w:rPr>
        <w:t xml:space="preserve">  104 |</w:t>
      </w:r>
    </w:p>
    <w:p>
      <w:pPr>
        <w:shd w:fill="F5F5F5"/>
      </w:pPr>
      <w:r>
        <w:rPr>
          <w:rFonts w:ascii="Courier New" w:hAnsi="Courier New"/>
          <w:color w:val="404040"/>
          <w:sz w:val="16"/>
        </w:rPr>
        <w:t xml:space="preserve">  102 |          ●  (Sc.3)</w:t>
      </w:r>
    </w:p>
    <w:p>
      <w:pPr>
        <w:shd w:fill="F5F5F5"/>
      </w:pPr>
      <w:r>
        <w:rPr>
          <w:rFonts w:ascii="Courier New" w:hAnsi="Courier New"/>
          <w:color w:val="404040"/>
          <w:sz w:val="16"/>
        </w:rPr>
        <w:t xml:space="preserve">  100 |  S₀ ─────────────────────────────── ●  (Sc.3)</w:t>
      </w:r>
    </w:p>
    <w:p>
      <w:pPr>
        <w:shd w:fill="F5F5F5"/>
      </w:pPr>
      <w:r>
        <w:rPr>
          <w:rFonts w:ascii="Courier New" w:hAnsi="Courier New"/>
          <w:color w:val="404040"/>
          <w:sz w:val="16"/>
        </w:rPr>
        <w:t xml:space="preserve">   98 |  ●  (Sc.3)</w:t>
      </w:r>
    </w:p>
    <w:p>
      <w:pPr>
        <w:shd w:fill="F5F5F5"/>
      </w:pPr>
      <w:r>
        <w:rPr>
          <w:rFonts w:ascii="Courier New" w:hAnsi="Courier New"/>
          <w:color w:val="404040"/>
          <w:sz w:val="16"/>
        </w:rPr>
        <w:t xml:space="preserve">   96 |                   ●  (Sc.3)</w:t>
      </w:r>
    </w:p>
    <w:p>
      <w:pPr>
        <w:shd w:fill="F5F5F5"/>
      </w:pPr>
      <w:r>
        <w:rPr>
          <w:rFonts w:ascii="Courier New" w:hAnsi="Courier New"/>
          <w:color w:val="404040"/>
          <w:sz w:val="16"/>
        </w:rPr>
        <w:t xml:space="preserve">   95 |                   ●  (Sc.5)</w:t>
      </w:r>
    </w:p>
    <w:p>
      <w:pPr>
        <w:shd w:fill="F5F5F5"/>
      </w:pPr>
      <w:r>
        <w:rPr>
          <w:rFonts w:ascii="Courier New" w:hAnsi="Courier New"/>
          <w:color w:val="404040"/>
          <w:sz w:val="16"/>
        </w:rPr>
        <w:t xml:space="preserve">   93 |  ●  (Sc.4)</w:t>
      </w:r>
    </w:p>
    <w:p>
      <w:pPr>
        <w:shd w:fill="F5F5F5"/>
      </w:pPr>
      <w:r>
        <w:rPr>
          <w:rFonts w:ascii="Courier New" w:hAnsi="Courier New"/>
          <w:color w:val="404040"/>
          <w:sz w:val="16"/>
        </w:rPr>
        <w:t xml:space="preserve">   92 |                              ●  (Sc.5)</w:t>
      </w:r>
    </w:p>
    <w:p>
      <w:pPr>
        <w:shd w:fill="F5F5F5"/>
      </w:pPr>
      <w:r>
        <w:rPr>
          <w:rFonts w:ascii="Courier New" w:hAnsi="Courier New"/>
          <w:color w:val="404040"/>
          <w:sz w:val="16"/>
        </w:rPr>
        <w:t xml:space="preserve">   88 |          ●  (Sc.4)        ●  (Sc.5)</w:t>
      </w:r>
    </w:p>
    <w:p>
      <w:pPr>
        <w:shd w:fill="F5F5F5"/>
      </w:pPr>
      <w:r>
        <w:rPr>
          <w:rFonts w:ascii="Courier New" w:hAnsi="Courier New"/>
          <w:color w:val="404040"/>
          <w:sz w:val="16"/>
        </w:rPr>
        <w:t xml:space="preserve">   86 |  ●  (Sc.6)</w:t>
      </w:r>
    </w:p>
    <w:p>
      <w:pPr>
        <w:shd w:fill="F5F5F5"/>
      </w:pPr>
      <w:r>
        <w:rPr>
          <w:rFonts w:ascii="Courier New" w:hAnsi="Courier New"/>
          <w:color w:val="404040"/>
          <w:sz w:val="16"/>
        </w:rPr>
        <w:t xml:space="preserve">   82 |                   ●  (Sc.4)</w:t>
      </w:r>
    </w:p>
    <w:p>
      <w:pPr>
        <w:shd w:fill="F5F5F5"/>
      </w:pPr>
      <w:r>
        <w:rPr>
          <w:rFonts w:ascii="Courier New" w:hAnsi="Courier New"/>
          <w:color w:val="404040"/>
          <w:sz w:val="16"/>
        </w:rPr>
        <w:t xml:space="preserve">   78 |                              ●  (Sc.4)</w:t>
      </w:r>
    </w:p>
    <w:p>
      <w:pPr>
        <w:shd w:fill="F5F5F5"/>
      </w:pPr>
      <w:r>
        <w:rPr>
          <w:rFonts w:ascii="Courier New" w:hAnsi="Courier New"/>
          <w:color w:val="404040"/>
          <w:sz w:val="16"/>
        </w:rPr>
        <w:t xml:space="preserve">   72 |          ●  (Sc.6)</w:t>
      </w:r>
    </w:p>
    <w:p>
      <w:pPr>
        <w:shd w:fill="F5F5F5"/>
      </w:pPr>
      <w:r>
        <w:rPr>
          <w:rFonts w:ascii="Courier New" w:hAnsi="Courier New"/>
          <w:color w:val="404040"/>
          <w:sz w:val="16"/>
        </w:rPr>
        <w:t xml:space="preserve">   65 |                   ●  (Sc.6)</w:t>
      </w:r>
    </w:p>
    <w:p>
      <w:pPr>
        <w:shd w:fill="F5F5F5"/>
      </w:pPr>
      <w:r>
        <w:rPr>
          <w:rFonts w:ascii="Courier New" w:hAnsi="Courier New"/>
          <w:color w:val="404040"/>
          <w:sz w:val="16"/>
        </w:rPr>
        <w:t xml:space="preserve">   58 |                              ●  (Sc.6)</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0    3m    6m    9m    12m</w:t>
      </w:r>
    </w:p>
    <w:p>
      <w:pPr>
        <w:pStyle w:val="Heading3"/>
        <w:jc w:val="left"/>
      </w:pPr>
      <w:r>
        <w:t>A.4 Converting Stock Price to Mark-to-Market (MtM)</w:t>
      </w:r>
    </w:p>
    <w:p>
      <w:r>
        <w:t>The MtM of the equity TRS at each scenario and time point is:</w:t>
      </w:r>
    </w:p>
    <w:p>
      <w:pPr>
        <w:shd w:fill="F5F5F5"/>
      </w:pPr>
      <w:r>
        <w:rPr>
          <w:rFonts w:ascii="Courier New" w:hAnsi="Courier New"/>
          <w:color w:val="404040"/>
          <w:sz w:val="16"/>
        </w:rPr>
        <w:t>MtM(t, scenario i) = Notional × Direction × (S(t,i) / S₀ − 1)</w:t>
      </w:r>
    </w:p>
    <w:p>
      <w:pPr>
        <w:shd w:fill="F5F5F5"/>
      </w:pPr>
      <w:r>
        <w:rPr>
          <w:rFonts w:ascii="Courier New" w:hAnsi="Courier New"/>
          <w:color w:val="404040"/>
          <w:sz w:val="16"/>
        </w:rPr>
        <w:t xml:space="preserve">                   = $10,000,000 × (+1) × (S(t,i) / 100 − 1)</w:t>
      </w:r>
    </w:p>
    <w:p>
      <w:r>
        <w:rPr>
          <w:b/>
        </w:rPr>
        <w:t>MtM Table (USD):</w:t>
      </w:r>
    </w:p>
    <w:p>
      <w:pPr>
        <w:shd w:fill="F5F5F5"/>
      </w:pPr>
      <w:r>
        <w:rPr>
          <w:rFonts w:ascii="Courier New" w:hAnsi="Courier New"/>
          <w:color w:val="404040"/>
          <w:sz w:val="16"/>
        </w:rPr>
        <w:t>Scenario | 3m          | 6m           | 9m           | 12m</w:t>
      </w:r>
    </w:p>
    <w:p>
      <w:pPr>
        <w:shd w:fill="F5F5F5"/>
      </w:pPr>
      <w:r>
        <w:rPr>
          <w:rFonts w:ascii="Courier New" w:hAnsi="Courier New"/>
          <w:color w:val="404040"/>
          <w:sz w:val="16"/>
        </w:rPr>
        <w:t>──────────────────────────────────────────────────────────────────</w:t>
      </w:r>
    </w:p>
    <w:p>
      <w:pPr>
        <w:shd w:fill="F5F5F5"/>
      </w:pPr>
      <w:r>
        <w:rPr>
          <w:rFonts w:ascii="Courier New" w:hAnsi="Courier New"/>
          <w:color w:val="404040"/>
          <w:sz w:val="16"/>
        </w:rPr>
        <w:t xml:space="preserve">  #1      | +$800,000   | +$1,500,000  | +$2,300,000  | +$3,000,000</w:t>
      </w:r>
    </w:p>
    <w:p>
      <w:pPr>
        <w:shd w:fill="F5F5F5"/>
      </w:pPr>
      <w:r>
        <w:rPr>
          <w:rFonts w:ascii="Courier New" w:hAnsi="Courier New"/>
          <w:color w:val="404040"/>
          <w:sz w:val="16"/>
        </w:rPr>
        <w:t xml:space="preserve">  #2      | +$400,000   |   +$700,000  | +$1,000,000  |   +$500,000</w:t>
      </w:r>
    </w:p>
    <w:p>
      <w:pPr>
        <w:shd w:fill="F5F5F5"/>
      </w:pPr>
      <w:r>
        <w:rPr>
          <w:rFonts w:ascii="Courier New" w:hAnsi="Courier New"/>
          <w:color w:val="404040"/>
          <w:sz w:val="16"/>
        </w:rPr>
        <w:t xml:space="preserve">  #3      | −$200,000   |   +$200,000  |   −$400,000  |         $0</w:t>
      </w:r>
    </w:p>
    <w:p>
      <w:pPr>
        <w:shd w:fill="F5F5F5"/>
      </w:pPr>
      <w:r>
        <w:rPr>
          <w:rFonts w:ascii="Courier New" w:hAnsi="Courier New"/>
          <w:color w:val="404040"/>
          <w:sz w:val="16"/>
        </w:rPr>
        <w:t xml:space="preserve">  #4      | −$700,000   | −$1,200,000  | −$1,800,000  | −$2,200,000</w:t>
      </w:r>
    </w:p>
    <w:p>
      <w:pPr>
        <w:shd w:fill="F5F5F5"/>
      </w:pPr>
      <w:r>
        <w:rPr>
          <w:rFonts w:ascii="Courier New" w:hAnsi="Courier New"/>
          <w:color w:val="404040"/>
          <w:sz w:val="16"/>
        </w:rPr>
        <w:t xml:space="preserve">  #5      | +$1,200,000 |   −$500,000  |   −$1,200,000| −$800,000</w:t>
      </w:r>
    </w:p>
    <w:p>
      <w:pPr>
        <w:shd w:fill="F5F5F5"/>
      </w:pPr>
      <w:r>
        <w:rPr>
          <w:rFonts w:ascii="Courier New" w:hAnsi="Courier New"/>
          <w:color w:val="404040"/>
          <w:sz w:val="16"/>
        </w:rPr>
        <w:t xml:space="preserve">  #6      | −$1,400,000 | −$2,800,000  | −$3,500,000  | −$4,200,000</w:t>
      </w:r>
    </w:p>
    <w:p>
      <w:pPr>
        <w:shd w:fill="F5F5F5"/>
      </w:pPr>
      <w:r>
        <w:rPr>
          <w:rFonts w:ascii="Courier New" w:hAnsi="Courier New"/>
          <w:color w:val="404040"/>
          <w:sz w:val="16"/>
        </w:rPr>
        <w:t>──────────────────────────────────────────────────────────────────</w:t>
      </w:r>
    </w:p>
    <w:p>
      <w:r>
        <w:rPr>
          <w:b/>
        </w:rPr>
        <w:t>Key insight:</w:t>
      </w:r>
      <w:r>
        <w:t xml:space="preserve"> Negative MtM means the stock fell below the initial price. The bank owes money to the counterparty — but this is NOT a credit risk to the bank.</w:t>
      </w:r>
    </w:p>
    <w:p>
      <w:pPr>
        <w:pStyle w:val="Heading3"/>
        <w:jc w:val="left"/>
      </w:pPr>
      <w:r>
        <w:t>A.5 Calculating Exposure — "Floor at Zero"</w:t>
      </w:r>
    </w:p>
    <w:p>
      <w:pPr>
        <w:shd w:fill="F5F5F5"/>
      </w:pPr>
      <w:r>
        <w:rPr>
          <w:rFonts w:ascii="Courier New" w:hAnsi="Courier New"/>
          <w:color w:val="404040"/>
          <w:sz w:val="16"/>
        </w:rPr>
        <w:t>Exposure(t, scenario i) = max(MtM(t, scenario i), 0)</w:t>
      </w:r>
    </w:p>
    <w:p>
      <w:r>
        <w:rPr>
          <w:b/>
        </w:rPr>
        <w:t>Exposure Table (USD):</w:t>
      </w:r>
    </w:p>
    <w:p>
      <w:pPr>
        <w:shd w:fill="F5F5F5"/>
      </w:pPr>
      <w:r>
        <w:rPr>
          <w:rFonts w:ascii="Courier New" w:hAnsi="Courier New"/>
          <w:color w:val="404040"/>
          <w:sz w:val="16"/>
        </w:rPr>
        <w:t>Scenario | 3m          | 6m           | 9m           | 12m</w:t>
      </w:r>
    </w:p>
    <w:p>
      <w:pPr>
        <w:shd w:fill="F5F5F5"/>
      </w:pPr>
      <w:r>
        <w:rPr>
          <w:rFonts w:ascii="Courier New" w:hAnsi="Courier New"/>
          <w:color w:val="404040"/>
          <w:sz w:val="16"/>
        </w:rPr>
        <w:t>──────────────────────────────────────────────────────────────────</w:t>
      </w:r>
    </w:p>
    <w:p>
      <w:pPr>
        <w:shd w:fill="F5F5F5"/>
      </w:pPr>
      <w:r>
        <w:rPr>
          <w:rFonts w:ascii="Courier New" w:hAnsi="Courier New"/>
          <w:color w:val="404040"/>
          <w:sz w:val="16"/>
        </w:rPr>
        <w:t xml:space="preserve">  #1      | +$800,000   | +$1,500,000  | +$2,300,000  | +$3,000,000</w:t>
      </w:r>
    </w:p>
    <w:p>
      <w:pPr>
        <w:shd w:fill="F5F5F5"/>
      </w:pPr>
      <w:r>
        <w:rPr>
          <w:rFonts w:ascii="Courier New" w:hAnsi="Courier New"/>
          <w:color w:val="404040"/>
          <w:sz w:val="16"/>
        </w:rPr>
        <w:t xml:space="preserve">  #2      | +$400,000   |   +$700,000  | +$1,000,000  |   +$500,000</w:t>
      </w:r>
    </w:p>
    <w:p>
      <w:pPr>
        <w:shd w:fill="F5F5F5"/>
      </w:pPr>
      <w:r>
        <w:rPr>
          <w:rFonts w:ascii="Courier New" w:hAnsi="Courier New"/>
          <w:color w:val="404040"/>
          <w:sz w:val="16"/>
        </w:rPr>
        <w:t xml:space="preserve">  #3      |       $0    |   +$200,000  |         $0   |         $0</w:t>
      </w:r>
    </w:p>
    <w:p>
      <w:pPr>
        <w:shd w:fill="F5F5F5"/>
      </w:pPr>
      <w:r>
        <w:rPr>
          <w:rFonts w:ascii="Courier New" w:hAnsi="Courier New"/>
          <w:color w:val="404040"/>
          <w:sz w:val="16"/>
        </w:rPr>
        <w:t xml:space="preserve">  #4      |       $0    |         $0   |         $0   |         $0</w:t>
      </w:r>
    </w:p>
    <w:p>
      <w:pPr>
        <w:shd w:fill="F5F5F5"/>
      </w:pPr>
      <w:r>
        <w:rPr>
          <w:rFonts w:ascii="Courier New" w:hAnsi="Courier New"/>
          <w:color w:val="404040"/>
          <w:sz w:val="16"/>
        </w:rPr>
        <w:t xml:space="preserve">  #5      | +$1,200,000 |         $0   |         $0   |         $0</w:t>
      </w:r>
    </w:p>
    <w:p>
      <w:pPr>
        <w:shd w:fill="F5F5F5"/>
      </w:pPr>
      <w:r>
        <w:rPr>
          <w:rFonts w:ascii="Courier New" w:hAnsi="Courier New"/>
          <w:color w:val="404040"/>
          <w:sz w:val="16"/>
        </w:rPr>
        <w:t xml:space="preserve">  #6      |       $0    |         $0   |         $0   |         $0</w:t>
      </w:r>
    </w:p>
    <w:p>
      <w:pPr>
        <w:shd w:fill="F5F5F5"/>
      </w:pPr>
      <w:r>
        <w:rPr>
          <w:rFonts w:ascii="Courier New" w:hAnsi="Courier New"/>
          <w:color w:val="404040"/>
          <w:sz w:val="16"/>
        </w:rPr>
        <w:t>──────────────────────────────────────────────────────────────────</w:t>
      </w:r>
    </w:p>
    <w:p>
      <w:r>
        <w:t xml:space="preserve">Scenarios 4 and 6 contribute </w:t>
      </w:r>
      <w:r>
        <w:rPr>
          <w:b/>
        </w:rPr>
        <w:t>zero exposure</w:t>
      </w:r>
      <w:r>
        <w:t xml:space="preserve"> at all time points — the bank is out-of-the-money and has no credit risk in those scenarios.</w:t>
      </w:r>
    </w:p>
    <w:p>
      <w:pPr>
        <w:pStyle w:val="Heading3"/>
        <w:jc w:val="left"/>
      </w:pPr>
      <w:r>
        <w:t>A.6 Expected Exposure EE(t) — The Average</w:t>
      </w:r>
    </w:p>
    <w:p>
      <w:r>
        <w:t>EE(t) is the simple average of Exposure across all 6 scenarios:</w:t>
      </w:r>
    </w:p>
    <w:p>
      <w:pPr>
        <w:shd w:fill="F5F5F5"/>
      </w:pPr>
      <w:r>
        <w:rPr>
          <w:rFonts w:ascii="Courier New" w:hAnsi="Courier New"/>
          <w:color w:val="404040"/>
          <w:sz w:val="16"/>
        </w:rPr>
        <w:t>EE(3m)  = ($800k + $400k + $0 + $0 + $1,200k + $0) / 6  = $400,000</w:t>
      </w:r>
    </w:p>
    <w:p>
      <w:pPr>
        <w:shd w:fill="F5F5F5"/>
      </w:pPr>
      <w:r>
        <w:rPr>
          <w:rFonts w:ascii="Courier New" w:hAnsi="Courier New"/>
          <w:color w:val="404040"/>
          <w:sz w:val="16"/>
        </w:rPr>
        <w:t>EE(6m)  = ($1,500k + $700k + $200k + $0 + $0 + $0) / 6  = $400,000</w:t>
      </w:r>
    </w:p>
    <w:p>
      <w:pPr>
        <w:shd w:fill="F5F5F5"/>
      </w:pPr>
      <w:r>
        <w:rPr>
          <w:rFonts w:ascii="Courier New" w:hAnsi="Courier New"/>
          <w:color w:val="404040"/>
          <w:sz w:val="16"/>
        </w:rPr>
        <w:t>EE(9m)  = ($2,300k + $1,000k + $0 + $0 + $0 + $0) / 6  = $550,000</w:t>
      </w:r>
    </w:p>
    <w:p>
      <w:pPr>
        <w:shd w:fill="F5F5F5"/>
      </w:pPr>
      <w:r>
        <w:rPr>
          <w:rFonts w:ascii="Courier New" w:hAnsi="Courier New"/>
          <w:color w:val="404040"/>
          <w:sz w:val="16"/>
        </w:rPr>
        <w:t>EE(12m) = ($3,000k + $500k + $0 + $0 + $0 + $0) / 6    = $583,333</w:t>
      </w:r>
    </w:p>
    <w:p>
      <w:r>
        <w:t xml:space="preserve">&gt; In the full production engine, this average is taken across </w:t>
      </w:r>
      <w:r>
        <w:rPr>
          <w:b/>
        </w:rPr>
        <w:t>4,000 scenarios</w:t>
      </w:r>
      <w:r>
        <w:t>, making the estimate statistically robust.</w:t>
      </w:r>
    </w:p>
    <w:p>
      <w:pPr>
        <w:pStyle w:val="Heading3"/>
        <w:jc w:val="left"/>
      </w:pPr>
      <w:r>
        <w:t>A.7 Effective Expected Exposure EEE(t) — Non-Decreasing Envelope</w:t>
      </w:r>
    </w:p>
    <w:p>
      <w:r>
        <w:t>The EEE applies the "ratchet" constraint: it can only stay flat or increase, never decrease:</w:t>
      </w:r>
    </w:p>
    <w:p>
      <w:pPr>
        <w:shd w:fill="F5F5F5"/>
      </w:pPr>
      <w:r>
        <w:rPr>
          <w:rFonts w:ascii="Courier New" w:hAnsi="Courier New"/>
          <w:color w:val="404040"/>
          <w:sz w:val="16"/>
        </w:rPr>
        <w:t>EEE(t₀) = EE(t₀)                       (at inception)</w:t>
      </w:r>
    </w:p>
    <w:p>
      <w:pPr>
        <w:shd w:fill="F5F5F5"/>
      </w:pPr>
      <w:r>
        <w:rPr>
          <w:rFonts w:ascii="Courier New" w:hAnsi="Courier New"/>
          <w:color w:val="404040"/>
          <w:sz w:val="16"/>
        </w:rPr>
        <w:t>EEE(tₙ) = max(EE(tₙ), EEE(tₙ₋₁))      (forward ratchet)</w:t>
      </w:r>
    </w:p>
    <w:p>
      <w:r>
        <w:t>Applied to our example:</w:t>
      </w:r>
    </w:p>
    <w:p>
      <w:pPr>
        <w:shd w:fill="F5F5F5"/>
      </w:pPr>
      <w:r>
        <w:rPr>
          <w:rFonts w:ascii="Courier New" w:hAnsi="Courier New"/>
          <w:color w:val="404040"/>
          <w:sz w:val="16"/>
        </w:rPr>
        <w:t>Step                    | Value         | Explanation</w:t>
      </w:r>
    </w:p>
    <w:p>
      <w:pPr>
        <w:shd w:fill="F5F5F5"/>
      </w:pPr>
      <w:r>
        <w:rPr>
          <w:rFonts w:ascii="Courier New" w:hAnsi="Courier New"/>
          <w:color w:val="404040"/>
          <w:sz w:val="16"/>
        </w:rPr>
        <w:t>────────────────────────────────────────────────────────────────────────</w:t>
      </w:r>
    </w:p>
    <w:p>
      <w:pPr>
        <w:shd w:fill="F5F5F5"/>
      </w:pPr>
      <w:r>
        <w:rPr>
          <w:rFonts w:ascii="Courier New" w:hAnsi="Courier New"/>
          <w:color w:val="404040"/>
          <w:sz w:val="16"/>
        </w:rPr>
        <w:t>EEE(3m) = EE(3m)        | $400,000      | First step — initialised to EE</w:t>
      </w:r>
    </w:p>
    <w:p>
      <w:pPr>
        <w:shd w:fill="F5F5F5"/>
      </w:pPr>
      <w:r>
        <w:rPr>
          <w:rFonts w:ascii="Courier New" w:hAnsi="Courier New"/>
          <w:color w:val="404040"/>
          <w:sz w:val="16"/>
        </w:rPr>
        <w:t>EEE(6m) = max(EE(6m), EEE(3m))</w:t>
      </w:r>
    </w:p>
    <w:p>
      <w:pPr>
        <w:shd w:fill="F5F5F5"/>
      </w:pPr>
      <w:r>
        <w:rPr>
          <w:rFonts w:ascii="Courier New" w:hAnsi="Courier New"/>
          <w:color w:val="404040"/>
          <w:sz w:val="16"/>
        </w:rPr>
        <w:t xml:space="preserve">        = max($400k, $400k)             | $400,000      | Unchanged — EE flat</w:t>
      </w:r>
    </w:p>
    <w:p>
      <w:pPr>
        <w:shd w:fill="F5F5F5"/>
      </w:pPr>
      <w:r>
        <w:rPr>
          <w:rFonts w:ascii="Courier New" w:hAnsi="Courier New"/>
          <w:color w:val="404040"/>
          <w:sz w:val="16"/>
        </w:rPr>
        <w:t>EEE(9m) = max(EE(9m), EEE(6m))</w:t>
      </w:r>
    </w:p>
    <w:p>
      <w:pPr>
        <w:shd w:fill="F5F5F5"/>
      </w:pPr>
      <w:r>
        <w:rPr>
          <w:rFonts w:ascii="Courier New" w:hAnsi="Courier New"/>
          <w:color w:val="404040"/>
          <w:sz w:val="16"/>
        </w:rPr>
        <w:t xml:space="preserve">        = max($550k, $400k)             | $550,000      | Rises with EE</w:t>
      </w:r>
    </w:p>
    <w:p>
      <w:pPr>
        <w:shd w:fill="F5F5F5"/>
      </w:pPr>
      <w:r>
        <w:rPr>
          <w:rFonts w:ascii="Courier New" w:hAnsi="Courier New"/>
          <w:color w:val="404040"/>
          <w:sz w:val="16"/>
        </w:rPr>
        <w:t>EEE(12m)= max(EE(12m), EEE(9m))</w:t>
      </w:r>
    </w:p>
    <w:p>
      <w:pPr>
        <w:shd w:fill="F5F5F5"/>
      </w:pPr>
      <w:r>
        <w:rPr>
          <w:rFonts w:ascii="Courier New" w:hAnsi="Courier New"/>
          <w:color w:val="404040"/>
          <w:sz w:val="16"/>
        </w:rPr>
        <w:t xml:space="preserve">        = max($583k, $550k)             | $583,333      | Rises with EE</w:t>
      </w:r>
    </w:p>
    <w:p>
      <w:pPr>
        <w:shd w:fill="F5F5F5"/>
      </w:pPr>
      <w:r>
        <w:rPr>
          <w:rFonts w:ascii="Courier New" w:hAnsi="Courier New"/>
          <w:color w:val="404040"/>
          <w:sz w:val="16"/>
        </w:rPr>
        <w:t>────────────────────────────────────────────────────────────────────────</w:t>
      </w:r>
    </w:p>
    <w:p>
      <w:r>
        <w:rPr>
          <w:b/>
        </w:rPr>
        <w:t>Visualisation — EE vs EEE:</w:t>
      </w:r>
    </w:p>
    <w:p>
      <w:pPr>
        <w:shd w:fill="F5F5F5"/>
      </w:pPr>
      <w:r>
        <w:rPr>
          <w:rFonts w:ascii="Courier New" w:hAnsi="Courier New"/>
          <w:color w:val="404040"/>
          <w:sz w:val="16"/>
        </w:rPr>
        <w:t>Exposure</w:t>
      </w:r>
    </w:p>
    <w:p>
      <w:pPr>
        <w:shd w:fill="F5F5F5"/>
      </w:pPr>
      <w:r>
        <w:rPr>
          <w:rFonts w:ascii="Courier New" w:hAnsi="Courier New"/>
          <w:color w:val="404040"/>
          <w:sz w:val="16"/>
        </w:rPr>
        <w:t xml:space="preserve"> $600k |                              ●  EEE(12m) = $583k</w:t>
      </w:r>
    </w:p>
    <w:p>
      <w:pPr>
        <w:shd w:fill="F5F5F5"/>
      </w:pPr>
      <w:r>
        <w:rPr>
          <w:rFonts w:ascii="Courier New" w:hAnsi="Courier New"/>
          <w:color w:val="404040"/>
          <w:sz w:val="16"/>
        </w:rPr>
        <w:t xml:space="preserve"> $580k |                         ↗   ◆  EE(12m) = $583k</w:t>
      </w:r>
    </w:p>
    <w:p>
      <w:pPr>
        <w:shd w:fill="F5F5F5"/>
      </w:pPr>
      <w:r>
        <w:rPr>
          <w:rFonts w:ascii="Courier New" w:hAnsi="Courier New"/>
          <w:color w:val="404040"/>
          <w:sz w:val="16"/>
        </w:rPr>
        <w:t xml:space="preserve"> $560k |                    ●  EEE(9m) = $550k</w:t>
      </w:r>
    </w:p>
    <w:p>
      <w:pPr>
        <w:shd w:fill="F5F5F5"/>
      </w:pPr>
      <w:r>
        <w:rPr>
          <w:rFonts w:ascii="Courier New" w:hAnsi="Courier New"/>
          <w:color w:val="404040"/>
          <w:sz w:val="16"/>
        </w:rPr>
        <w:t xml:space="preserve"> $550k |                    ◆  EE(9m) = $550k</w:t>
      </w:r>
    </w:p>
    <w:p>
      <w:pPr>
        <w:shd w:fill="F5F5F5"/>
      </w:pPr>
      <w:r>
        <w:rPr>
          <w:rFonts w:ascii="Courier New" w:hAnsi="Courier New"/>
          <w:color w:val="404040"/>
          <w:sz w:val="16"/>
        </w:rPr>
        <w:t xml:space="preserve"> $450k |</w:t>
      </w:r>
    </w:p>
    <w:p>
      <w:pPr>
        <w:shd w:fill="F5F5F5"/>
      </w:pPr>
      <w:r>
        <w:rPr>
          <w:rFonts w:ascii="Courier New" w:hAnsi="Courier New"/>
          <w:color w:val="404040"/>
          <w:sz w:val="16"/>
        </w:rPr>
        <w:t xml:space="preserve"> $400k |  ●──────────●  EEE(3m)=$400k, EEE(6m)=$400k (flat — ratchet holds)</w:t>
      </w:r>
    </w:p>
    <w:p>
      <w:pPr>
        <w:shd w:fill="F5F5F5"/>
      </w:pPr>
      <w:r>
        <w:rPr>
          <w:rFonts w:ascii="Courier New" w:hAnsi="Courier New"/>
          <w:color w:val="404040"/>
          <w:sz w:val="16"/>
        </w:rPr>
        <w:t xml:space="preserve"> $400k |  ◆          ◆  EE(3m)=$400k,  EE(6m)=$400k</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3m    6m    9m   12m</w:t>
      </w:r>
    </w:p>
    <w:p>
      <w:pPr>
        <w:shd w:fill="F5F5F5"/>
      </w:pPr>
      <w:r>
        <w:rPr>
          <w:rFonts w:ascii="Courier New" w:hAnsi="Courier New"/>
          <w:color w:val="404040"/>
          <w:sz w:val="16"/>
        </w:rPr>
        <w:t xml:space="preserve">  ● = EEE (Effective EE — non-decreasing)</w:t>
      </w:r>
    </w:p>
    <w:p>
      <w:pPr>
        <w:shd w:fill="F5F5F5"/>
      </w:pPr>
      <w:r>
        <w:rPr>
          <w:rFonts w:ascii="Courier New" w:hAnsi="Courier New"/>
          <w:color w:val="404040"/>
          <w:sz w:val="16"/>
        </w:rPr>
        <w:t xml:space="preserve">  ◆ = EE  (raw expected exposure — can decrease)</w:t>
      </w:r>
    </w:p>
    <w:p>
      <w:r>
        <w:rPr>
          <w:b/>
        </w:rPr>
        <w:t>Why does this matter to the CRO?</w:t>
      </w:r>
    </w:p>
    <w:p>
      <w:r>
        <w:t xml:space="preserve">Without the ratchet, EE could fall at 6 months (perhaps because many trades are maturing). This would give the misleading impression that credit risk is disappearing. The EEE forces the bank to hold capital against the </w:t>
      </w:r>
      <w:r>
        <w:rPr>
          <w:b/>
        </w:rPr>
        <w:t>peak exposure reached so far</w:t>
      </w:r>
      <w:r>
        <w:t xml:space="preserve"> — preventing an artificial reduction due to selective trade maturities.</w:t>
      </w:r>
    </w:p>
    <w:p>
      <w:pPr>
        <w:pStyle w:val="Heading3"/>
        <w:jc w:val="left"/>
      </w:pPr>
      <w:r>
        <w:t>A.8 EPE and EEPE — Scalar Capital Metrics</w:t>
      </w:r>
    </w:p>
    <w:p>
      <w:r>
        <w:t>Both EPE and EEPE are simple averages over all 52 weekly time steps (illustrated here with 4 points):</w:t>
      </w:r>
    </w:p>
    <w:p>
      <w:r>
        <w:rPr>
          <w:b/>
        </w:rPr>
        <w:t>EPE — time average of EE:</w:t>
      </w:r>
    </w:p>
    <w:p>
      <w:pPr>
        <w:shd w:fill="F5F5F5"/>
      </w:pPr>
      <w:r>
        <w:rPr>
          <w:rFonts w:ascii="Courier New" w:hAnsi="Courier New"/>
          <w:color w:val="404040"/>
          <w:sz w:val="16"/>
        </w:rPr>
        <w:t>EPE = (1/4) × (EE(3m) + EE(6m) + EE(9m) + EE(12m))</w:t>
      </w:r>
    </w:p>
    <w:p>
      <w:pPr>
        <w:shd w:fill="F5F5F5"/>
      </w:pPr>
      <w:r>
        <w:rPr>
          <w:rFonts w:ascii="Courier New" w:hAnsi="Courier New"/>
          <w:color w:val="404040"/>
          <w:sz w:val="16"/>
        </w:rPr>
        <w:t xml:space="preserve">    = (1/4) × ($400k + $400k + $550k + $583k)</w:t>
      </w:r>
    </w:p>
    <w:p>
      <w:pPr>
        <w:shd w:fill="F5F5F5"/>
      </w:pPr>
      <w:r>
        <w:rPr>
          <w:rFonts w:ascii="Courier New" w:hAnsi="Courier New"/>
          <w:color w:val="404040"/>
          <w:sz w:val="16"/>
        </w:rPr>
        <w:t xml:space="preserve">    = (1/4) × $1,933k</w:t>
      </w:r>
    </w:p>
    <w:p>
      <w:pPr>
        <w:shd w:fill="F5F5F5"/>
      </w:pPr>
      <w:r>
        <w:rPr>
          <w:rFonts w:ascii="Courier New" w:hAnsi="Courier New"/>
          <w:color w:val="404040"/>
          <w:sz w:val="16"/>
        </w:rPr>
        <w:t xml:space="preserve">    ≈ $483,333</w:t>
      </w:r>
    </w:p>
    <w:p>
      <w:r>
        <w:rPr>
          <w:b/>
        </w:rPr>
        <w:t>EEPE — time average of EEE:</w:t>
      </w:r>
    </w:p>
    <w:p>
      <w:pPr>
        <w:shd w:fill="F5F5F5"/>
      </w:pPr>
      <w:r>
        <w:rPr>
          <w:rFonts w:ascii="Courier New" w:hAnsi="Courier New"/>
          <w:color w:val="404040"/>
          <w:sz w:val="16"/>
        </w:rPr>
        <w:t>EEPE = (1/4) × (EEE(3m) + EEE(6m) + EEE(9m) + EEE(12m))</w:t>
      </w:r>
    </w:p>
    <w:p>
      <w:pPr>
        <w:shd w:fill="F5F5F5"/>
      </w:pPr>
      <w:r>
        <w:rPr>
          <w:rFonts w:ascii="Courier New" w:hAnsi="Courier New"/>
          <w:color w:val="404040"/>
          <w:sz w:val="16"/>
        </w:rPr>
        <w:t xml:space="preserve">     = (1/4) × ($400k + $400k + $550k + $583k)</w:t>
      </w:r>
    </w:p>
    <w:p>
      <w:pPr>
        <w:shd w:fill="F5F5F5"/>
      </w:pPr>
      <w:r>
        <w:rPr>
          <w:rFonts w:ascii="Courier New" w:hAnsi="Courier New"/>
          <w:color w:val="404040"/>
          <w:sz w:val="16"/>
        </w:rPr>
        <w:t xml:space="preserve">     ≈ $483,333</w:t>
      </w:r>
    </w:p>
    <w:p>
      <w:r>
        <w:t xml:space="preserve">&gt; In this example EPE ≈ EEPE because EE was non-decreasing. In portfolios where EE dips mid-life (e.g., amortising trades), EEPE will be </w:t>
      </w:r>
      <w:r>
        <w:rPr>
          <w:b/>
        </w:rPr>
        <w:t>visibly higher</w:t>
      </w:r>
      <w:r>
        <w:t xml:space="preserve"> than EPE.</w:t>
      </w:r>
    </w:p>
    <w:p>
      <w:pPr>
        <w:pStyle w:val="Heading3"/>
        <w:jc w:val="left"/>
      </w:pPr>
      <w:r>
        <w:t>A.9 Potential Future Exposure PFE(t) — The "Worst Case" Line</w:t>
      </w:r>
    </w:p>
    <w:p>
      <w:r>
        <w:t xml:space="preserve">PFE is the </w:t>
      </w:r>
      <w:r>
        <w:rPr>
          <w:b/>
        </w:rPr>
        <w:t>95th percentile exposure</w:t>
      </w:r>
      <w:r>
        <w:t xml:space="preserve"> at each time point. With only 6 scenarios, the 95th percentile would be the highest observation. With 4,000 scenarios, it is the 3,800th largest value.</w:t>
      </w:r>
    </w:p>
    <w:p>
      <w:r>
        <w:t>For our example (using the 6-scenario subset):</w:t>
      </w:r>
    </w:p>
    <w:p>
      <w:pPr>
        <w:shd w:fill="F5F5F5"/>
      </w:pPr>
      <w:r>
        <w:rPr>
          <w:rFonts w:ascii="Courier New" w:hAnsi="Courier New"/>
          <w:color w:val="404040"/>
          <w:sz w:val="16"/>
        </w:rPr>
        <w:t>PFE(3m)  = max visible positive exposure = $1,200,000   (Scenario 5)</w:t>
      </w:r>
    </w:p>
    <w:p>
      <w:pPr>
        <w:shd w:fill="F5F5F5"/>
      </w:pPr>
      <w:r>
        <w:rPr>
          <w:rFonts w:ascii="Courier New" w:hAnsi="Courier New"/>
          <w:color w:val="404040"/>
          <w:sz w:val="16"/>
        </w:rPr>
        <w:t>PFE(6m)  = $1,500,000                                   (Scenario 1)</w:t>
      </w:r>
    </w:p>
    <w:p>
      <w:pPr>
        <w:shd w:fill="F5F5F5"/>
      </w:pPr>
      <w:r>
        <w:rPr>
          <w:rFonts w:ascii="Courier New" w:hAnsi="Courier New"/>
          <w:color w:val="404040"/>
          <w:sz w:val="16"/>
        </w:rPr>
        <w:t>PFE(9m)  = $2,300,000                                   (Scenario 1)</w:t>
      </w:r>
    </w:p>
    <w:p>
      <w:pPr>
        <w:shd w:fill="F5F5F5"/>
      </w:pPr>
      <w:r>
        <w:rPr>
          <w:rFonts w:ascii="Courier New" w:hAnsi="Courier New"/>
          <w:color w:val="404040"/>
          <w:sz w:val="16"/>
        </w:rPr>
        <w:t>PFE(12m) = $3,000,000                                   (Scenario 1)</w:t>
      </w:r>
    </w:p>
    <w:p>
      <w:r>
        <w:rPr>
          <w:b/>
        </w:rPr>
        <w:t>PFE is used for credit limit monitoring</w:t>
      </w:r>
      <w:r>
        <w:t xml:space="preserve"> — it answers the question: "In a bad but plausible outcome (95% confidence), what is my maximum exposure at month 6?" If this exceeds the credit limit for the counterparty, the trade should be declined or collateralised.</w:t>
      </w:r>
    </w:p>
    <w:p>
      <w:pPr>
        <w:pStyle w:val="Heading3"/>
        <w:jc w:val="left"/>
      </w:pPr>
      <w:r>
        <w:t>A.10 Complete Picture — All Four Metrics Together</w:t>
      </w:r>
    </w:p>
    <w:p>
      <w:pPr>
        <w:shd w:fill="F5F5F5"/>
      </w:pPr>
      <w:r>
        <w:rPr>
          <w:rFonts w:ascii="Courier New" w:hAnsi="Courier New"/>
          <w:color w:val="404040"/>
          <w:sz w:val="16"/>
        </w:rPr>
        <w:t xml:space="preserve">  Exposure</w:t>
      </w:r>
    </w:p>
    <w:p>
      <w:pPr>
        <w:shd w:fill="F5F5F5"/>
      </w:pPr>
      <w:r>
        <w:rPr>
          <w:rFonts w:ascii="Courier New" w:hAnsi="Courier New"/>
          <w:color w:val="404040"/>
          <w:sz w:val="16"/>
        </w:rPr>
        <w:t xml:space="preserve">  $3.0M |                                   ◇ PFE(12m) = $3.0M</w:t>
      </w:r>
    </w:p>
    <w:p>
      <w:pPr>
        <w:shd w:fill="F5F5F5"/>
      </w:pPr>
      <w:r>
        <w:rPr>
          <w:rFonts w:ascii="Courier New" w:hAnsi="Courier New"/>
          <w:color w:val="404040"/>
          <w:sz w:val="16"/>
        </w:rPr>
        <w:t xml:space="preserve">  $2.5M |</w:t>
      </w:r>
    </w:p>
    <w:p>
      <w:pPr>
        <w:shd w:fill="F5F5F5"/>
      </w:pPr>
      <w:r>
        <w:rPr>
          <w:rFonts w:ascii="Courier New" w:hAnsi="Courier New"/>
          <w:color w:val="404040"/>
          <w:sz w:val="16"/>
        </w:rPr>
        <w:t xml:space="preserve">  $2.3M |                    ◇ PFE(9m)</w:t>
      </w:r>
    </w:p>
    <w:p>
      <w:pPr>
        <w:shd w:fill="F5F5F5"/>
      </w:pPr>
      <w:r>
        <w:rPr>
          <w:rFonts w:ascii="Courier New" w:hAnsi="Courier New"/>
          <w:color w:val="404040"/>
          <w:sz w:val="16"/>
        </w:rPr>
        <w:t xml:space="preserve">  $2.0M |</w:t>
      </w:r>
    </w:p>
    <w:p>
      <w:pPr>
        <w:shd w:fill="F5F5F5"/>
      </w:pPr>
      <w:r>
        <w:rPr>
          <w:rFonts w:ascii="Courier New" w:hAnsi="Courier New"/>
          <w:color w:val="404040"/>
          <w:sz w:val="16"/>
        </w:rPr>
        <w:t xml:space="preserve">  $1.5M |          ◇ PFE(6m)</w:t>
      </w:r>
    </w:p>
    <w:p>
      <w:pPr>
        <w:shd w:fill="F5F5F5"/>
      </w:pPr>
      <w:r>
        <w:rPr>
          <w:rFonts w:ascii="Courier New" w:hAnsi="Courier New"/>
          <w:color w:val="404040"/>
          <w:sz w:val="16"/>
        </w:rPr>
        <w:t xml:space="preserve">  $1.2M |  ◇ PFE(3m)</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$583k |                              ● EEE(12m) = EEPE input</w:t>
      </w:r>
    </w:p>
    <w:p>
      <w:pPr>
        <w:shd w:fill="F5F5F5"/>
      </w:pPr>
      <w:r>
        <w:rPr>
          <w:rFonts w:ascii="Courier New" w:hAnsi="Courier New"/>
          <w:color w:val="404040"/>
          <w:sz w:val="16"/>
        </w:rPr>
        <w:t xml:space="preserve">  $550k |                    ● EEE(9m)</w:t>
      </w:r>
    </w:p>
    <w:p>
      <w:pPr>
        <w:shd w:fill="F5F5F5"/>
      </w:pPr>
      <w:r>
        <w:rPr>
          <w:rFonts w:ascii="Courier New" w:hAnsi="Courier New"/>
          <w:color w:val="404040"/>
          <w:sz w:val="16"/>
        </w:rPr>
        <w:t xml:space="preserve">  $500k |</w:t>
      </w:r>
    </w:p>
    <w:p>
      <w:pPr>
        <w:shd w:fill="F5F5F5"/>
      </w:pPr>
      <w:r>
        <w:rPr>
          <w:rFonts w:ascii="Courier New" w:hAnsi="Courier New"/>
          <w:color w:val="404040"/>
          <w:sz w:val="16"/>
        </w:rPr>
        <w:t xml:space="preserve">  $483k |  ════════════════════════════  EPE / EEPE ≈ $483k (time avg)</w:t>
      </w:r>
    </w:p>
    <w:p>
      <w:pPr>
        <w:shd w:fill="F5F5F5"/>
      </w:pPr>
      <w:r>
        <w:rPr>
          <w:rFonts w:ascii="Courier New" w:hAnsi="Courier New"/>
          <w:color w:val="404040"/>
          <w:sz w:val="16"/>
        </w:rPr>
        <w:t xml:space="preserve">  $400k |  ●────────● EEE(3m)=EEE(6m)</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  ◆        ◆ EE(3m)=EE(6m)     ◆ EE(9m)     ◆ EE(12m)</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3m       6m                  9m            12m</w:t>
      </w:r>
    </w:p>
    <w:p>
      <w:pPr>
        <w:shd w:fill="F5F5F5"/>
      </w:pPr>
      <w:r>
        <w:rPr>
          <w:rFonts w:ascii="Courier New" w:hAnsi="Courier New"/>
          <w:color w:val="404040"/>
          <w:sz w:val="16"/>
        </w:rPr>
        <w:t xml:space="preserve">  ◇ = PFE (95th pctile — credit limit line)</w:t>
      </w:r>
    </w:p>
    <w:p>
      <w:pPr>
        <w:shd w:fill="F5F5F5"/>
      </w:pPr>
      <w:r>
        <w:rPr>
          <w:rFonts w:ascii="Courier New" w:hAnsi="Courier New"/>
          <w:color w:val="404040"/>
          <w:sz w:val="16"/>
        </w:rPr>
        <w:t xml:space="preserve">  ● = EEE (non-decreasing exposure — feeds EEPE → EAD)</w:t>
      </w:r>
    </w:p>
    <w:p>
      <w:pPr>
        <w:shd w:fill="F5F5F5"/>
      </w:pPr>
      <w:r>
        <w:rPr>
          <w:rFonts w:ascii="Courier New" w:hAnsi="Courier New"/>
          <w:color w:val="404040"/>
          <w:sz w:val="16"/>
        </w:rPr>
        <w:t xml:space="preserve">  ◆ = EE  (average exposure — feeds EPE → CVA)</w:t>
      </w:r>
    </w:p>
    <w:p>
      <w:pPr>
        <w:shd w:fill="F5F5F5"/>
      </w:pPr>
      <w:r>
        <w:rPr>
          <w:rFonts w:ascii="Courier New" w:hAnsi="Courier New"/>
          <w:color w:val="404040"/>
          <w:sz w:val="16"/>
        </w:rPr>
        <w:t xml:space="preserve">  ══ = EEPE scalar (average of EEE — the regulatory capital driver)</w:t>
      </w:r>
    </w:p>
    <w:p>
      <w:r>
        <w:rPr>
          <w:b/>
        </w:rP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Used For</w:t>
            </w:r>
          </w:p>
        </w:tc>
      </w:tr>
      <w:tr>
        <w:tc>
          <w:tcPr>
            <w:tcW w:type="dxa" w:w="2880"/>
          </w:tcPr>
          <w:p>
            <w:r>
              <w:t>**EE(t)**</w:t>
            </w:r>
          </w:p>
        </w:tc>
        <w:tc>
          <w:tcPr>
            <w:tcW w:type="dxa" w:w="2880"/>
          </w:tcPr>
          <w:p>
            <w:r>
              <w:t>$400k → $583k over time</w:t>
            </w:r>
          </w:p>
        </w:tc>
        <w:tc>
          <w:tcPr>
            <w:tcW w:type="dxa" w:w="2880"/>
          </w:tcPr>
          <w:p>
            <w:r>
              <w:t>CVA pricing, internal analytics</w:t>
            </w:r>
          </w:p>
        </w:tc>
      </w:tr>
      <w:tr>
        <w:tc>
          <w:tcPr>
            <w:tcW w:type="dxa" w:w="2880"/>
          </w:tcPr>
          <w:p>
            <w:r>
              <w:t>**EEE(t)**</w:t>
            </w:r>
          </w:p>
        </w:tc>
        <w:tc>
          <w:tcPr>
            <w:tcW w:type="dxa" w:w="2880"/>
          </w:tcPr>
          <w:p>
            <w:r>
              <w:t>$400k → $583k (ratcheted)</w:t>
            </w:r>
          </w:p>
        </w:tc>
        <w:tc>
          <w:tcPr>
            <w:tcW w:type="dxa" w:w="2880"/>
          </w:tcPr>
          <w:p>
            <w:r>
              <w:t>Feeds EEPE — regulatory capital</w:t>
            </w:r>
          </w:p>
        </w:tc>
      </w:tr>
      <w:tr>
        <w:tc>
          <w:tcPr>
            <w:tcW w:type="dxa" w:w="2880"/>
          </w:tcPr>
          <w:p>
            <w:r>
              <w:t>**EPE**</w:t>
            </w:r>
          </w:p>
        </w:tc>
        <w:tc>
          <w:tcPr>
            <w:tcW w:type="dxa" w:w="2880"/>
          </w:tcPr>
          <w:p>
            <w:r>
              <w:t>≈ $483,333</w:t>
            </w:r>
          </w:p>
        </w:tc>
        <w:tc>
          <w:tcPr>
            <w:tcW w:type="dxa" w:w="2880"/>
          </w:tcPr>
          <w:p>
            <w:r>
              <w:t>CVA pricing, internal benchmarking</w:t>
            </w:r>
          </w:p>
        </w:tc>
      </w:tr>
      <w:tr>
        <w:tc>
          <w:tcPr>
            <w:tcW w:type="dxa" w:w="2880"/>
          </w:tcPr>
          <w:p>
            <w:r>
              <w:t>**EEPE**</w:t>
            </w:r>
          </w:p>
        </w:tc>
        <w:tc>
          <w:tcPr>
            <w:tcW w:type="dxa" w:w="2880"/>
          </w:tcPr>
          <w:p>
            <w:r>
              <w:t>≈ $483,333</w:t>
            </w:r>
          </w:p>
        </w:tc>
        <w:tc>
          <w:tcPr>
            <w:tcW w:type="dxa" w:w="2880"/>
          </w:tcPr>
          <w:p>
            <w:r>
              <w:t>**Regulatory capital driver**</w:t>
            </w:r>
          </w:p>
        </w:tc>
      </w:tr>
      <w:tr>
        <w:tc>
          <w:tcPr>
            <w:tcW w:type="dxa" w:w="2880"/>
          </w:tcPr>
          <w:p>
            <w:r>
              <w:t>**PFE(95%)**</w:t>
            </w:r>
          </w:p>
        </w:tc>
        <w:tc>
          <w:tcPr>
            <w:tcW w:type="dxa" w:w="2880"/>
          </w:tcPr>
          <w:p>
            <w:r>
              <w:t>$1.2M → $3.0M</w:t>
            </w:r>
          </w:p>
        </w:tc>
        <w:tc>
          <w:tcPr>
            <w:tcW w:type="dxa" w:w="2880"/>
          </w:tcPr>
          <w:p>
            <w:r>
              <w:t>Credit limit monitoring</w:t>
            </w:r>
          </w:p>
        </w:tc>
      </w:tr>
      <w:tr>
        <w:tc>
          <w:tcPr>
            <w:tcW w:type="dxa" w:w="2880"/>
          </w:tcPr>
          <w:p>
            <w:r>
              <w:t>**EAD_IMM**</w:t>
            </w:r>
          </w:p>
        </w:tc>
        <w:tc>
          <w:tcPr>
            <w:tcW w:type="dxa" w:w="2880"/>
          </w:tcPr>
          <w:p>
            <w:r>
              <w:t>α × EEPE = 1.4 × $483k = **$676,667**</w:t>
            </w:r>
          </w:p>
        </w:tc>
        <w:tc>
          <w:tcPr>
            <w:tcW w:type="dxa" w:w="2880"/>
          </w:tcPr>
          <w:p>
            <w:r>
              <w:t>Capital &amp; RWA</w:t>
            </w:r>
          </w:p>
        </w:tc>
      </w:tr>
      <w:tr>
        <w:tc>
          <w:tcPr>
            <w:tcW w:type="dxa" w:w="2880"/>
          </w:tcPr>
          <w:p>
            <w:r>
              <w:t>**RWA**</w:t>
            </w:r>
          </w:p>
        </w:tc>
        <w:tc>
          <w:tcPr>
            <w:tcW w:type="dxa" w:w="2880"/>
          </w:tcPr>
          <w:p>
            <w:r>
              <w:t>EAD × 12.5 × 8% = EAD × 1.0 = **$676,667**</w:t>
            </w:r>
          </w:p>
        </w:tc>
        <w:tc>
          <w:tcPr>
            <w:tcW w:type="dxa" w:w="2880"/>
          </w:tcPr>
          <w:p>
            <w:r>
              <w:t>Basel III Pillar 1</w:t>
            </w:r>
          </w:p>
        </w:tc>
      </w:tr>
    </w:tbl>
    <w:p>
      <w:pPr>
        <w:pStyle w:val="Heading3"/>
        <w:jc w:val="left"/>
      </w:pPr>
      <w:r>
        <w:t>A.11 Why Monte Carlo? — The Significance for a G-SIB</w:t>
      </w:r>
    </w:p>
    <w:p>
      <w:r>
        <w:t>The Chief Risk Officer should understand three key reasons why Monte Carlo simulation is indispensable — and why PROMETHEUS implements it at scale (4,000 paths × 52 time steps):</w:t>
      </w:r>
    </w:p>
    <w:p>
      <w:r>
        <w:rPr>
          <w:b/>
        </w:rPr>
        <w:t>1. Captures Non-Linear Exposure Profiles</w:t>
      </w:r>
    </w:p>
    <w:p>
      <w:r>
        <w:t xml:space="preserve">For a simple equity TRS, the relationship between stock price and exposure is linear. But for </w:t>
      </w:r>
      <w:r>
        <w:rPr>
          <w:b/>
        </w:rPr>
        <w:t>options, swaptions, or cross-currency swaps</w:t>
      </w:r>
      <w:r>
        <w:t>, the exposure profile is deeply non-linear. Monte Carlo naturally captures these shapes; closed-form formulas cannot.</w:t>
      </w:r>
    </w:p>
    <w:p>
      <w:r>
        <w:rPr>
          <w:b/>
        </w:rPr>
        <w:t>2. Handles Portfolio Netting</w:t>
      </w:r>
    </w:p>
    <w:p>
      <w:r>
        <w:t xml:space="preserve">When the bank has 50 trades with the same counterparty — some equity, some IR, some FX — the netting benefit cannot be computed analytically. Monte Carlo runs all 50 trades in the </w:t>
      </w:r>
      <w:r>
        <w:rPr>
          <w:b/>
        </w:rPr>
        <w:t>same scenario</w:t>
      </w:r>
      <w:r>
        <w:t xml:space="preserve"> and nets them at the portfolio level. This is mathematically correct; the alternative (summing individual EADs) is highly conservative and over-states capital.</w:t>
      </w:r>
    </w:p>
    <w:p>
      <w:r>
        <w:rPr>
          <w:b/>
        </w:rPr>
        <w:t>3. Generates the Full Distribution</w:t>
      </w:r>
    </w:p>
    <w:p>
      <w:r>
        <w:t>From 4,000 scenarios, the engine extracts:</w:t>
      </w:r>
    </w:p>
    <w:p>
      <w:pPr>
        <w:pStyle w:val="ListBullet"/>
      </w:pPr>
      <w:r>
        <w:t>The **mean** → EE, EPE (for CVA pricing)</w:t>
      </w:r>
    </w:p>
    <w:p>
      <w:pPr>
        <w:pStyle w:val="ListBullet"/>
      </w:pPr>
      <w:r>
        <w:t>The **non-decreasing envelope mean** → EEE, EEPE (for regulatory capital)</w:t>
      </w:r>
    </w:p>
    <w:p>
      <w:pPr>
        <w:pStyle w:val="ListBullet"/>
      </w:pPr>
      <w:r>
        <w:t>The **95th percentile** → PFE (for credit limits)</w:t>
      </w:r>
    </w:p>
    <w:p>
      <w:pPr>
        <w:pStyle w:val="ListBullet"/>
      </w:pPr>
      <w:r>
        <w:t>The **tail mean (ES)** → for FRTB add-on and DIM</w:t>
      </w:r>
    </w:p>
    <w:p>
      <w:r>
        <w:t xml:space="preserve">This is only possible because Monte Carlo preserves the </w:t>
      </w:r>
      <w:r>
        <w:rPr>
          <w:b/>
        </w:rPr>
        <w:t>entire distribution</w:t>
      </w:r>
      <w:r>
        <w:t xml:space="preserve"> of future exposure, not just a single number. The alpha factor of </w:t>
      </w:r>
      <w:r>
        <w:rPr>
          <w:b/>
        </w:rPr>
        <w:t>1.4</w:t>
      </w:r>
      <w:r>
        <w:t xml:space="preserve"> applied to EEPE (mandated by Basel CRE53.16) partially compensates for residual model uncertainty — but it is the simulation itself that makes the capital number defensible to supervisors.</w:t>
      </w:r>
    </w:p>
    <w:p>
      <w:pPr>
        <w:pStyle w:val="Heading3"/>
        <w:jc w:val="left"/>
      </w:pPr>
      <w:r>
        <w:t>A.12 Stressed Scenario — What Happens in a Crisis?</w:t>
      </w:r>
    </w:p>
    <w:p>
      <w:r>
        <w:t xml:space="preserve">With </w:t>
      </w:r>
      <w:r>
        <w:rPr>
          <w:b/>
        </w:rPr>
        <w:t>stressed volatility (σ = 40%, double the base)</w:t>
      </w:r>
      <w:r>
        <w:t>:</w:t>
      </w:r>
    </w:p>
    <w:p>
      <w:pPr>
        <w:shd w:fill="F5F5F5"/>
      </w:pPr>
      <w:r>
        <w:rPr>
          <w:rFonts w:ascii="Courier New" w:hAnsi="Courier New"/>
          <w:color w:val="404040"/>
          <w:sz w:val="16"/>
        </w:rPr>
        <w:t>Base scenario:</w:t>
      </w:r>
    </w:p>
    <w:p>
      <w:pPr>
        <w:shd w:fill="F5F5F5"/>
      </w:pPr>
      <w:r>
        <w:rPr>
          <w:rFonts w:ascii="Courier New" w:hAnsi="Courier New"/>
          <w:color w:val="404040"/>
          <w:sz w:val="16"/>
        </w:rPr>
        <w:t xml:space="preserve">  EEPE       ≈ $483,333</w:t>
      </w:r>
    </w:p>
    <w:p>
      <w:pPr>
        <w:shd w:fill="F5F5F5"/>
      </w:pPr>
      <w:r>
        <w:rPr>
          <w:rFonts w:ascii="Courier New" w:hAnsi="Courier New"/>
          <w:color w:val="404040"/>
          <w:sz w:val="16"/>
        </w:rPr>
        <w:t xml:space="preserve">  EAD_IMM    = 1.4 × $483,333 = $676,667</w:t>
      </w:r>
    </w:p>
    <w:p>
      <w:pPr>
        <w:shd w:fill="F5F5F5"/>
      </w:pPr>
      <w:r>
        <w:rPr>
          <w:rFonts w:ascii="Courier New" w:hAnsi="Courier New"/>
          <w:color w:val="404040"/>
          <w:sz w:val="16"/>
        </w:rPr>
        <w:t>Stressed scenario (2007–09 calibration, σ = 40%):</w:t>
      </w:r>
    </w:p>
    <w:p>
      <w:pPr>
        <w:shd w:fill="F5F5F5"/>
      </w:pPr>
      <w:r>
        <w:rPr>
          <w:rFonts w:ascii="Courier New" w:hAnsi="Courier New"/>
          <w:color w:val="404040"/>
          <w:sz w:val="16"/>
        </w:rPr>
        <w:t xml:space="preserve">  EEPE_stressed ≈ $820,000   (nearly double — driven by σ² term in GBM)</w:t>
      </w:r>
    </w:p>
    <w:p>
      <w:pPr>
        <w:shd w:fill="F5F5F5"/>
      </w:pPr>
      <w:r>
        <w:rPr>
          <w:rFonts w:ascii="Courier New" w:hAnsi="Courier New"/>
          <w:color w:val="404040"/>
          <w:sz w:val="16"/>
        </w:rPr>
        <w:t xml:space="preserve">  EAD_stressed  = 1.4 × $820,000 = $1,148,000</w:t>
      </w:r>
    </w:p>
    <w:p>
      <w:pPr>
        <w:shd w:fill="F5F5F5"/>
      </w:pPr>
      <w:r>
        <w:rPr>
          <w:rFonts w:ascii="Courier New" w:hAnsi="Courier New"/>
          <w:color w:val="404040"/>
          <w:sz w:val="16"/>
        </w:rPr>
        <w:t>Capital EAD (regulatory floor):</w:t>
      </w:r>
    </w:p>
    <w:p>
      <w:pPr>
        <w:shd w:fill="F5F5F5"/>
      </w:pPr>
      <w:r>
        <w:rPr>
          <w:rFonts w:ascii="Courier New" w:hAnsi="Courier New"/>
          <w:color w:val="404040"/>
          <w:sz w:val="16"/>
        </w:rPr>
        <w:t xml:space="preserve">  Capital EAD = max($676,667, $1,148,000) = $1,148,000</w:t>
      </w:r>
    </w:p>
    <w:p>
      <w:r>
        <w:rPr>
          <w:b/>
        </w:rPr>
        <w:t>Doubling volatility roughly doubles EEPE</w:t>
      </w:r>
      <w:r>
        <w:t xml:space="preserve"> — because the range of possible stock prices widens in both directions, but since exposure is floored at zero (we only count upside scenarios), the expected upside grows with variance. This is the </w:t>
      </w:r>
      <w:r>
        <w:rPr>
          <w:b/>
        </w:rPr>
        <w:t>convexity of exposure to volatility</w:t>
      </w:r>
      <w:r>
        <w:t>, and it is precisely why the Basel Committee requires stress testing against historical crisis periods.</w:t>
      </w:r>
    </w:p>
    <w:p>
      <w:pPr>
        <w:pStyle w:val="Heading2"/>
        <w:jc w:val="left"/>
      </w:pPr>
      <w:r>
        <w:t>Appendix B: End-to-End Numeric Example</w:t>
      </w:r>
    </w:p>
    <w:p>
      <w:pPr>
        <w:pStyle w:val="Heading3"/>
        <w:jc w:val="left"/>
      </w:pPr>
      <w:r>
        <w:t>Portfolio: 3 trades, no CSA</w:t>
      </w:r>
    </w:p>
    <w:p>
      <w:pPr>
        <w:shd w:fill="F5F5F5"/>
      </w:pPr>
      <w:r>
        <w:rPr>
          <w:rFonts w:ascii="Courier New" w:hAnsi="Courier New"/>
          <w:color w:val="404040"/>
          <w:sz w:val="16"/>
        </w:rPr>
        <w:t>Trade 1: EQ, Notional = 10,000,000, Direction = +1</w:t>
      </w:r>
    </w:p>
    <w:p>
      <w:pPr>
        <w:shd w:fill="F5F5F5"/>
      </w:pPr>
      <w:r>
        <w:rPr>
          <w:rFonts w:ascii="Courier New" w:hAnsi="Courier New"/>
          <w:color w:val="404040"/>
          <w:sz w:val="16"/>
        </w:rPr>
        <w:t>Trade 2: IR, Notional = 25,000,000, Direction = −1</w:t>
      </w:r>
    </w:p>
    <w:p>
      <w:pPr>
        <w:shd w:fill="F5F5F5"/>
      </w:pPr>
      <w:r>
        <w:rPr>
          <w:rFonts w:ascii="Courier New" w:hAnsi="Courier New"/>
          <w:color w:val="404040"/>
          <w:sz w:val="16"/>
        </w:rPr>
        <w:t>Trade 3: FX, Notional = 5,000,000,  Direction = +1</w:t>
      </w:r>
    </w:p>
    <w:p>
      <w:pPr>
        <w:shd w:fill="F5F5F5"/>
      </w:pPr>
      <w:r>
        <w:rPr>
          <w:rFonts w:ascii="Courier New" w:hAnsi="Courier New"/>
          <w:color w:val="404040"/>
          <w:sz w:val="16"/>
        </w:rPr>
        <w:t>Parameters: σ_EQ = 20%, κ=10%, θ=4.5%, σ_IR=1.5%</w:t>
      </w:r>
    </w:p>
    <w:p>
      <w:pPr>
        <w:shd w:fill="F5F5F5"/>
      </w:pPr>
      <w:r>
        <w:rPr>
          <w:rFonts w:ascii="Courier New" w:hAnsi="Courier New"/>
          <w:color w:val="404040"/>
          <w:sz w:val="16"/>
        </w:rPr>
        <w:t>Scenarios: 4,000 (2,000 base + 2,000 antithetic)</w:t>
      </w:r>
    </w:p>
    <w:p>
      <w:pPr>
        <w:shd w:fill="F5F5F5"/>
      </w:pPr>
      <w:r>
        <w:rPr>
          <w:rFonts w:ascii="Courier New" w:hAnsi="Courier New"/>
          <w:color w:val="404040"/>
          <w:sz w:val="16"/>
        </w:rPr>
        <w:t>Time steps: 52 weekly steps</w:t>
      </w:r>
    </w:p>
    <w:p>
      <w:r>
        <w:rPr>
          <w:b/>
        </w:rPr>
        <w:t>Step-by-step output (illustrative):</w:t>
      </w:r>
    </w:p>
    <w:p>
      <w:pPr>
        <w:shd w:fill="F5F5F5"/>
      </w:pPr>
      <w:r>
        <w:rPr>
          <w:rFonts w:ascii="Courier New" w:hAnsi="Courier New"/>
          <w:color w:val="404040"/>
          <w:sz w:val="16"/>
        </w:rPr>
        <w:t>1. Simulate 4,000 × 52 paths per risk factor</w:t>
      </w:r>
    </w:p>
    <w:p>
      <w:pPr>
        <w:shd w:fill="F5F5F5"/>
      </w:pPr>
      <w:r>
        <w:rPr>
          <w:rFonts w:ascii="Courier New" w:hAnsi="Courier New"/>
          <w:color w:val="404040"/>
          <w:sz w:val="16"/>
        </w:rPr>
        <w:t>2. Compute net MtM = MtM_EQ + MtM_IR + MtM_FX per scenario per time step</w:t>
      </w:r>
    </w:p>
    <w:p>
      <w:pPr>
        <w:shd w:fill="F5F5F5"/>
      </w:pPr>
      <w:r>
        <w:rPr>
          <w:rFonts w:ascii="Courier New" w:hAnsi="Courier New"/>
          <w:color w:val="404040"/>
          <w:sz w:val="16"/>
        </w:rPr>
        <w:t>3. Exposure = max(Net MtM, 0)</w:t>
      </w:r>
    </w:p>
    <w:p>
      <w:pPr>
        <w:shd w:fill="F5F5F5"/>
      </w:pPr>
      <w:r>
        <w:rPr>
          <w:rFonts w:ascii="Courier New" w:hAnsi="Courier New"/>
          <w:color w:val="404040"/>
          <w:sz w:val="16"/>
        </w:rPr>
        <w:t>4. EE(t) at t=0.25yr ≈ 450,000</w:t>
      </w:r>
    </w:p>
    <w:p>
      <w:pPr>
        <w:shd w:fill="F5F5F5"/>
      </w:pPr>
      <w:r>
        <w:rPr>
          <w:rFonts w:ascii="Courier New" w:hAnsi="Courier New"/>
          <w:color w:val="404040"/>
          <w:sz w:val="16"/>
        </w:rPr>
        <w:t xml:space="preserve">   EE(t) at t=0.50yr ≈ 620,000</w:t>
      </w:r>
    </w:p>
    <w:p>
      <w:pPr>
        <w:shd w:fill="F5F5F5"/>
      </w:pPr>
      <w:r>
        <w:rPr>
          <w:rFonts w:ascii="Courier New" w:hAnsi="Courier New"/>
          <w:color w:val="404040"/>
          <w:sz w:val="16"/>
        </w:rPr>
        <w:t xml:space="preserve">   EE(t) at t=1.00yr ≈ 580,000   ← can decrease (trade maturity effects)</w:t>
      </w:r>
    </w:p>
    <w:p>
      <w:pPr>
        <w:shd w:fill="F5F5F5"/>
      </w:pPr>
      <w:r>
        <w:rPr>
          <w:rFonts w:ascii="Courier New" w:hAnsi="Courier New"/>
          <w:color w:val="404040"/>
          <w:sz w:val="16"/>
        </w:rPr>
        <w:t>5. EEE(t=0.25) = 450,000</w:t>
      </w:r>
    </w:p>
    <w:p>
      <w:pPr>
        <w:shd w:fill="F5F5F5"/>
      </w:pPr>
      <w:r>
        <w:rPr>
          <w:rFonts w:ascii="Courier New" w:hAnsi="Courier New"/>
          <w:color w:val="404040"/>
          <w:sz w:val="16"/>
        </w:rPr>
        <w:t xml:space="preserve">   EEE(t=0.50) = 620,000</w:t>
      </w:r>
    </w:p>
    <w:p>
      <w:pPr>
        <w:shd w:fill="F5F5F5"/>
      </w:pPr>
      <w:r>
        <w:rPr>
          <w:rFonts w:ascii="Courier New" w:hAnsi="Courier New"/>
          <w:color w:val="404040"/>
          <w:sz w:val="16"/>
        </w:rPr>
        <w:t xml:space="preserve">   EEE(t=1.00) = 620,000          ← locked at previous peak</w:t>
      </w:r>
    </w:p>
    <w:p>
      <w:pPr>
        <w:shd w:fill="F5F5F5"/>
      </w:pPr>
      <w:r>
        <w:rPr>
          <w:rFonts w:ascii="Courier New" w:hAnsi="Courier New"/>
          <w:color w:val="404040"/>
          <w:sz w:val="16"/>
        </w:rPr>
        <w:t>6. EPE  = mean(EE)  over 52 steps ≈ 510,000</w:t>
      </w:r>
    </w:p>
    <w:p>
      <w:pPr>
        <w:shd w:fill="F5F5F5"/>
      </w:pPr>
      <w:r>
        <w:rPr>
          <w:rFonts w:ascii="Courier New" w:hAnsi="Courier New"/>
          <w:color w:val="404040"/>
          <w:sz w:val="16"/>
        </w:rPr>
        <w:t xml:space="preserve">   EEPE = mean(EEE) over 52 steps ≈ 580,000    ← higher than EPE</w:t>
      </w:r>
    </w:p>
    <w:p>
      <w:pPr>
        <w:shd w:fill="F5F5F5"/>
      </w:pPr>
      <w:r>
        <w:rPr>
          <w:rFonts w:ascii="Courier New" w:hAnsi="Courier New"/>
          <w:color w:val="404040"/>
          <w:sz w:val="16"/>
        </w:rPr>
        <w:t>7. EAD_IMM = 1.4 × 580,000 = 812,000</w:t>
      </w:r>
    </w:p>
    <w:p>
      <w:pPr>
        <w:shd w:fill="F5F5F5"/>
      </w:pPr>
      <w:r>
        <w:rPr>
          <w:rFonts w:ascii="Courier New" w:hAnsi="Courier New"/>
          <w:color w:val="404040"/>
          <w:sz w:val="16"/>
        </w:rPr>
        <w:t>8. Stressed EAD (σ_EQ = 40%):</w:t>
      </w:r>
    </w:p>
    <w:p>
      <w:pPr>
        <w:shd w:fill="F5F5F5"/>
      </w:pPr>
      <w:r>
        <w:rPr>
          <w:rFonts w:ascii="Courier New" w:hAnsi="Courier New"/>
          <w:color w:val="404040"/>
          <w:sz w:val="16"/>
        </w:rPr>
        <w:t xml:space="preserve">   Stressed EEPE ≈ 950,000</w:t>
      </w:r>
    </w:p>
    <w:p>
      <w:pPr>
        <w:shd w:fill="F5F5F5"/>
      </w:pPr>
      <w:r>
        <w:rPr>
          <w:rFonts w:ascii="Courier New" w:hAnsi="Courier New"/>
          <w:color w:val="404040"/>
          <w:sz w:val="16"/>
        </w:rPr>
        <w:t xml:space="preserve">   Stressed EAD  = 1.4 × 950,000 = 1,330,000</w:t>
      </w:r>
    </w:p>
    <w:p>
      <w:pPr>
        <w:shd w:fill="F5F5F5"/>
      </w:pPr>
      <w:r>
        <w:rPr>
          <w:rFonts w:ascii="Courier New" w:hAnsi="Courier New"/>
          <w:color w:val="404040"/>
          <w:sz w:val="16"/>
        </w:rPr>
        <w:t>9. CVA (CDS = 50bp, RR = 40%):</w:t>
      </w:r>
    </w:p>
    <w:p>
      <w:pPr>
        <w:shd w:fill="F5F5F5"/>
      </w:pPr>
      <w:r>
        <w:rPr>
          <w:rFonts w:ascii="Courier New" w:hAnsi="Courier New"/>
          <w:color w:val="404040"/>
          <w:sz w:val="16"/>
        </w:rPr>
        <w:t xml:space="preserve">   λ = 0.005 / 0.60 = 0.00833</w:t>
      </w:r>
    </w:p>
    <w:p>
      <w:pPr>
        <w:shd w:fill="F5F5F5"/>
      </w:pPr>
      <w:r>
        <w:rPr>
          <w:rFonts w:ascii="Courier New" w:hAnsi="Courier New"/>
          <w:color w:val="404040"/>
          <w:sz w:val="16"/>
        </w:rPr>
        <w:t xml:space="preserve">   CVA ≈ 12,400</w:t>
      </w:r>
    </w:p>
    <w:p>
      <w:pPr>
        <w:shd w:fill="F5F5F5"/>
      </w:pPr>
      <w:r>
        <w:rPr>
          <w:rFonts w:ascii="Courier New" w:hAnsi="Courier New"/>
          <w:color w:val="404040"/>
          <w:sz w:val="16"/>
        </w:rPr>
        <w:t>10. RWA = 812,000 × 1.0 × 12.5 × 0.08 = 812,000</w:t>
      </w:r>
    </w:p>
    <w:p>
      <w:r>
        <w:rPr>
          <w:i/>
        </w:rPr>
        <w:t>This document was auto-generated from the PROMETHEUS `imm.py` source code and reflects the implementation as of April 2026. Regulatory references are to the Basel Framework (bis.org/basel_framework) CRE53 standard effective 1 January 2023.</w:t>
      </w:r>
    </w:p>
    <w:p>
      <w:pPr>
        <w:pStyle w:val="Heading2"/>
        <w:jc w:val="left"/>
      </w:pPr>
      <w:r>
        <w:t>Appendix C: Monte Carlo Simulation Walk-Through — Interest Rate Trade</w:t>
      </w:r>
    </w:p>
    <w:p>
      <w:r>
        <w:t xml:space="preserve">&gt; </w:t>
      </w:r>
      <w:r>
        <w:rPr>
          <w:b/>
        </w:rPr>
        <w:t>Purpose:</w:t>
      </w:r>
      <w:r>
        <w:t xml:space="preserve"> Illustrate how the Hull-White 1-Factor model simulates future interest rate paths and how exposure is derived for a plain vanilla Interest Rate Swap (IRS) — the most common OTC derivative in any G-SIB trading book.</w:t>
      </w:r>
    </w:p>
    <w:p>
      <w:pPr>
        <w:pStyle w:val="Heading3"/>
        <w:jc w:val="left"/>
      </w:pPr>
      <w:r>
        <w:t>C.1 The Trade</w:t>
      </w:r>
    </w:p>
    <w:p>
      <w:r>
        <w:t xml:space="preserve">&gt; </w:t>
      </w:r>
      <w:r>
        <w:rPr>
          <w:b/>
        </w:rPr>
        <w:t>Product:</w:t>
      </w:r>
      <w:r>
        <w:t xml:space="preserve"> Interest Rate Swap (IRS) — Pay Fixed / Receive Floating</w:t>
      </w:r>
    </w:p>
    <w:p>
      <w:r>
        <w:t xml:space="preserve">&gt; </w:t>
      </w:r>
      <w:r>
        <w:rPr>
          <w:b/>
        </w:rPr>
        <w:t>Notional:</w:t>
      </w:r>
      <w:r>
        <w:t xml:space="preserve"> USD 25,000,000</w:t>
      </w:r>
    </w:p>
    <w:p>
      <w:r>
        <w:t xml:space="preserve">&gt; </w:t>
      </w:r>
      <w:r>
        <w:rPr>
          <w:b/>
        </w:rPr>
        <w:t>Direction:</w:t>
      </w:r>
      <w:r>
        <w:t xml:space="preserve"> −1 (bank pays fixed, receives LIBOR — a "payer swap")</w:t>
      </w:r>
    </w:p>
    <w:p>
      <w:r>
        <w:t xml:space="preserve">&gt; </w:t>
      </w:r>
      <w:r>
        <w:rPr>
          <w:b/>
        </w:rPr>
        <w:t>Maturity:</w:t>
      </w:r>
      <w:r>
        <w:t xml:space="preserve"> 5 years (exposure horizon: 1 year per IMM convention)</w:t>
      </w:r>
    </w:p>
    <w:p>
      <w:r>
        <w:t xml:space="preserve">&gt; </w:t>
      </w:r>
      <w:r>
        <w:rPr>
          <w:b/>
        </w:rPr>
        <w:t>Initial Rate (r₀):</w:t>
      </w:r>
      <w:r>
        <w:t xml:space="preserve"> 5.00%</w:t>
      </w:r>
    </w:p>
    <w:p>
      <w:r>
        <w:t xml:space="preserve">&gt; </w:t>
      </w:r>
      <w:r>
        <w:rPr>
          <w:b/>
        </w:rPr>
        <w:t>Fixed Coupon Rate:</w:t>
      </w:r>
      <w:r>
        <w:t xml:space="preserve"> 5.00% (at-the-money at inception → MtM = 0 at t=0)</w:t>
      </w:r>
    </w:p>
    <w:p>
      <w:r>
        <w:t xml:space="preserve">&gt; </w:t>
      </w:r>
      <w:r>
        <w:rPr>
          <w:b/>
        </w:rPr>
        <w:t>Duration at inception:</w:t>
      </w:r>
      <w:r>
        <w:t xml:space="preserve"> 4.5 years (approximate)</w:t>
      </w:r>
    </w:p>
    <w:p>
      <w:r>
        <w:rPr>
          <w:b/>
        </w:rPr>
        <w:t>What does "exposure" mean for this trade?</w:t>
      </w:r>
    </w:p>
    <w:p>
      <w:r>
        <w:t xml:space="preserve">The bank pays a fixed 5% coupon and receives floating LIBOR. If rates </w:t>
      </w:r>
      <w:r>
        <w:rPr>
          <w:b/>
        </w:rPr>
        <w:t>rise</w:t>
      </w:r>
      <w:r>
        <w:t xml:space="preserve"> above 5%, the floating leg pays more than the fixed leg — the swap is in-the-money for the bank (positive MtM). If the counterparty defaults when rates are high, the bank loses that positive mark-to-market value.</w:t>
      </w:r>
    </w:p>
    <w:p>
      <w:r>
        <w:t xml:space="preserve">If rates </w:t>
      </w:r>
      <w:r>
        <w:rPr>
          <w:b/>
        </w:rPr>
        <w:t>fall</w:t>
      </w:r>
      <w:r>
        <w:t>, the swap is out-of-the-money for the bank — it is paying above-market. Counterparty default in that scenario is no loss to the bank (it walks away from an unfavourable position).</w:t>
      </w:r>
    </w:p>
    <w:p>
      <w:pPr>
        <w:pStyle w:val="Heading3"/>
        <w:jc w:val="left"/>
      </w:pPr>
      <w:r>
        <w:t>C.2 The Hull-White Model — How Rates Are Simulated</w:t>
      </w:r>
    </w:p>
    <w:p>
      <w:r>
        <w:t xml:space="preserve">Unlike equities (which can grow unboundedly), interest rates are mean-reverting — they tend to drift back toward a long-run equilibrium. The </w:t>
      </w:r>
      <w:r>
        <w:rPr>
          <w:b/>
        </w:rPr>
        <w:t>Hull-White 1-Factor model</w:t>
      </w:r>
      <w:r>
        <w:t xml:space="preserve"> captures this:</w:t>
      </w:r>
    </w:p>
    <w:p>
      <w:pPr>
        <w:shd w:fill="F5F5F5"/>
      </w:pPr>
      <w:r>
        <w:rPr>
          <w:rFonts w:ascii="Courier New" w:hAnsi="Courier New"/>
          <w:color w:val="404040"/>
          <w:sz w:val="16"/>
        </w:rPr>
        <w:t>Continuous SDE:</w:t>
      </w:r>
    </w:p>
    <w:p>
      <w:pPr>
        <w:shd w:fill="F5F5F5"/>
      </w:pPr>
      <w:r>
        <w:rPr>
          <w:rFonts w:ascii="Courier New" w:hAnsi="Courier New"/>
          <w:color w:val="404040"/>
          <w:sz w:val="16"/>
        </w:rPr>
        <w:t xml:space="preserve">  dr = κ(θ − r) dt + σᵣ dW</w:t>
      </w:r>
    </w:p>
    <w:p>
      <w:pPr>
        <w:shd w:fill="F5F5F5"/>
      </w:pPr>
      <w:r>
        <w:rPr>
          <w:rFonts w:ascii="Courier New" w:hAnsi="Courier New"/>
          <w:color w:val="404040"/>
          <w:sz w:val="16"/>
        </w:rPr>
        <w:t>Discretised:</w:t>
      </w:r>
    </w:p>
    <w:p>
      <w:pPr>
        <w:shd w:fill="F5F5F5"/>
      </w:pPr>
      <w:r>
        <w:rPr>
          <w:rFonts w:ascii="Courier New" w:hAnsi="Courier New"/>
          <w:color w:val="404040"/>
          <w:sz w:val="16"/>
        </w:rPr>
        <w:t xml:space="preserve">  r(t+dt) = r(t) + κ × (θ − r(t)) × dt + σᵣ × √dt × Z</w:t>
      </w:r>
    </w:p>
    <w:p>
      <w:pPr>
        <w:shd w:fill="F5F5F5"/>
      </w:pPr>
      <w:r>
        <w:rPr>
          <w:rFonts w:ascii="Courier New" w:hAnsi="Courier New"/>
          <w:color w:val="404040"/>
          <w:sz w:val="16"/>
        </w:rPr>
        <w:t>Parameters:</w:t>
      </w:r>
    </w:p>
    <w:p>
      <w:pPr>
        <w:shd w:fill="F5F5F5"/>
      </w:pPr>
      <w:r>
        <w:rPr>
          <w:rFonts w:ascii="Courier New" w:hAnsi="Courier New"/>
          <w:color w:val="404040"/>
          <w:sz w:val="16"/>
        </w:rPr>
        <w:t xml:space="preserve">  κ  = 0.10   (mean reversion speed — pulls rate back at 10% per year)</w:t>
      </w:r>
    </w:p>
    <w:p>
      <w:pPr>
        <w:shd w:fill="F5F5F5"/>
      </w:pPr>
      <w:r>
        <w:rPr>
          <w:rFonts w:ascii="Courier New" w:hAnsi="Courier New"/>
          <w:color w:val="404040"/>
          <w:sz w:val="16"/>
        </w:rPr>
        <w:t xml:space="preserve">  θ  = 0.045  (long-run equilibrium rate = 4.5%)</w:t>
      </w:r>
    </w:p>
    <w:p>
      <w:pPr>
        <w:shd w:fill="F5F5F5"/>
      </w:pPr>
      <w:r>
        <w:rPr>
          <w:rFonts w:ascii="Courier New" w:hAnsi="Courier New"/>
          <w:color w:val="404040"/>
          <w:sz w:val="16"/>
        </w:rPr>
        <w:t xml:space="preserve">  σᵣ = 0.015  (rate volatility = 1.5% per year)</w:t>
      </w:r>
    </w:p>
    <w:p>
      <w:pPr>
        <w:shd w:fill="F5F5F5"/>
      </w:pPr>
      <w:r>
        <w:rPr>
          <w:rFonts w:ascii="Courier New" w:hAnsi="Courier New"/>
          <w:color w:val="404040"/>
          <w:sz w:val="16"/>
        </w:rPr>
        <w:t xml:space="preserve">  r₀ = 0.050  (initial short rate = 5.0%)</w:t>
      </w:r>
    </w:p>
    <w:p>
      <w:pPr>
        <w:shd w:fill="F5F5F5"/>
      </w:pPr>
      <w:r>
        <w:rPr>
          <w:rFonts w:ascii="Courier New" w:hAnsi="Courier New"/>
          <w:color w:val="404040"/>
          <w:sz w:val="16"/>
        </w:rPr>
        <w:t xml:space="preserve">  dt = 1/52   (weekly steps)</w:t>
      </w:r>
    </w:p>
    <w:p>
      <w:r>
        <w:rPr>
          <w:b/>
        </w:rPr>
        <w:t>Key difference from GBM:</w:t>
      </w:r>
      <w:r>
        <w:t xml:space="preserve"> Mean reversion means extreme rate moves are dampened over time. A rate that spikes to 8% will be pulled back toward 4.5% — rates do not "random-walk" to infinity.</w:t>
      </w:r>
    </w:p>
    <w:p>
      <w:pPr>
        <w:pStyle w:val="Heading3"/>
        <w:jc w:val="left"/>
      </w:pPr>
      <w:r>
        <w:t>C.3 Six Illustrative Rate Scenarios (%)</w:t>
      </w:r>
    </w:p>
    <w:p>
      <w:pPr>
        <w:shd w:fill="F5F5F5"/>
      </w:pPr>
      <w:r>
        <w:rPr>
          <w:rFonts w:ascii="Courier New" w:hAnsi="Courier New"/>
          <w:color w:val="404040"/>
          <w:sz w:val="16"/>
        </w:rPr>
        <w:t>Scenario | 3m (t=13) | 6m (t=26) | 9m (t=39) | 12m (t=52) | Outcome</w:t>
      </w:r>
    </w:p>
    <w:p>
      <w:pPr>
        <w:shd w:fill="F5F5F5"/>
      </w:pPr>
      <w:r>
        <w:rPr>
          <w:rFonts w:ascii="Courier New" w:hAnsi="Courier New"/>
          <w:color w:val="404040"/>
          <w:sz w:val="16"/>
        </w:rPr>
        <w:t>──────────────────────────────────────────────────────────────────────</w:t>
      </w:r>
    </w:p>
    <w:p>
      <w:pPr>
        <w:shd w:fill="F5F5F5"/>
      </w:pPr>
      <w:r>
        <w:rPr>
          <w:rFonts w:ascii="Courier New" w:hAnsi="Courier New"/>
          <w:color w:val="404040"/>
          <w:sz w:val="16"/>
        </w:rPr>
        <w:t xml:space="preserve">  #1      |   5.80%   |   6.40%   |   6.90%   |   7.20%    | Strong rise — payer wins</w:t>
      </w:r>
    </w:p>
    <w:p>
      <w:pPr>
        <w:shd w:fill="F5F5F5"/>
      </w:pPr>
      <w:r>
        <w:rPr>
          <w:rFonts w:ascii="Courier New" w:hAnsi="Courier New"/>
          <w:color w:val="404040"/>
          <w:sz w:val="16"/>
        </w:rPr>
        <w:t xml:space="preserve">  #2      |   5.30%   |   5.60%   |   5.50%   |   5.70%    | Modest rise</w:t>
      </w:r>
    </w:p>
    <w:p>
      <w:pPr>
        <w:shd w:fill="F5F5F5"/>
      </w:pPr>
      <w:r>
        <w:rPr>
          <w:rFonts w:ascii="Courier New" w:hAnsi="Courier New"/>
          <w:color w:val="404040"/>
          <w:sz w:val="16"/>
        </w:rPr>
        <w:t xml:space="preserve">  #3      |   4.90%   |   4.70%   |   4.80%   |   4.60%    | Slight fall — near-flat</w:t>
      </w:r>
    </w:p>
    <w:p>
      <w:pPr>
        <w:shd w:fill="F5F5F5"/>
      </w:pPr>
      <w:r>
        <w:rPr>
          <w:rFonts w:ascii="Courier New" w:hAnsi="Courier New"/>
          <w:color w:val="404040"/>
          <w:sz w:val="16"/>
        </w:rPr>
        <w:t xml:space="preserve">  #4      |   4.20%   |   3.80%   |   3.50%   |   3.30%    | Falling rate environment</w:t>
      </w:r>
    </w:p>
    <w:p>
      <w:pPr>
        <w:shd w:fill="F5F5F5"/>
      </w:pPr>
      <w:r>
        <w:rPr>
          <w:rFonts w:ascii="Courier New" w:hAnsi="Courier New"/>
          <w:color w:val="404040"/>
          <w:sz w:val="16"/>
        </w:rPr>
        <w:t xml:space="preserve">  #5      |   6.10%   |   5.20%   |   4.50%   |   4.40%    | Spike then reversion</w:t>
      </w:r>
    </w:p>
    <w:p>
      <w:pPr>
        <w:shd w:fill="F5F5F5"/>
      </w:pPr>
      <w:r>
        <w:rPr>
          <w:rFonts w:ascii="Courier New" w:hAnsi="Courier New"/>
          <w:color w:val="404040"/>
          <w:sz w:val="16"/>
        </w:rPr>
        <w:t xml:space="preserve">  #6      |   3.80%   |   3.20%   |   2.80%   |   2.50%    | Severe rate drop (ZIRP shock)</w:t>
      </w:r>
    </w:p>
    <w:p>
      <w:pPr>
        <w:shd w:fill="F5F5F5"/>
      </w:pPr>
      <w:r>
        <w:rPr>
          <w:rFonts w:ascii="Courier New" w:hAnsi="Courier New"/>
          <w:color w:val="404040"/>
          <w:sz w:val="16"/>
        </w:rPr>
        <w:t>──────────────────────────────────────────────────────────────────────</w:t>
      </w:r>
    </w:p>
    <w:p>
      <w:r>
        <w:rPr>
          <w:b/>
        </w:rPr>
        <w:t>Visualisation of rate paths:</w:t>
      </w:r>
    </w:p>
    <w:p>
      <w:pPr>
        <w:shd w:fill="F5F5F5"/>
      </w:pPr>
      <w:r>
        <w:rPr>
          <w:rFonts w:ascii="Courier New" w:hAnsi="Courier New"/>
          <w:color w:val="404040"/>
          <w:sz w:val="16"/>
        </w:rPr>
        <w:t>Rate (%)</w:t>
      </w:r>
    </w:p>
    <w:p>
      <w:pPr>
        <w:shd w:fill="F5F5F5"/>
      </w:pPr>
      <w:r>
        <w:rPr>
          <w:rFonts w:ascii="Courier New" w:hAnsi="Courier New"/>
          <w:color w:val="404040"/>
          <w:sz w:val="16"/>
        </w:rPr>
        <w:t xml:space="preserve">  7.20% |                              ● (Sc.1)</w:t>
      </w:r>
    </w:p>
    <w:p>
      <w:pPr>
        <w:shd w:fill="F5F5F5"/>
      </w:pPr>
      <w:r>
        <w:rPr>
          <w:rFonts w:ascii="Courier New" w:hAnsi="Courier New"/>
          <w:color w:val="404040"/>
          <w:sz w:val="16"/>
        </w:rPr>
        <w:t xml:space="preserve">  6.90% |                   ● (Sc.1)</w:t>
      </w:r>
    </w:p>
    <w:p>
      <w:pPr>
        <w:shd w:fill="F5F5F5"/>
      </w:pPr>
      <w:r>
        <w:rPr>
          <w:rFonts w:ascii="Courier New" w:hAnsi="Courier New"/>
          <w:color w:val="404040"/>
          <w:sz w:val="16"/>
        </w:rPr>
        <w:t xml:space="preserve">  6.40% |          ● (Sc.1)</w:t>
      </w:r>
    </w:p>
    <w:p>
      <w:pPr>
        <w:shd w:fill="F5F5F5"/>
      </w:pPr>
      <w:r>
        <w:rPr>
          <w:rFonts w:ascii="Courier New" w:hAnsi="Courier New"/>
          <w:color w:val="404040"/>
          <w:sz w:val="16"/>
        </w:rPr>
        <w:t xml:space="preserve">  6.10% |          ● (Sc.5)</w:t>
      </w:r>
    </w:p>
    <w:p>
      <w:pPr>
        <w:shd w:fill="F5F5F5"/>
      </w:pPr>
      <w:r>
        <w:rPr>
          <w:rFonts w:ascii="Courier New" w:hAnsi="Courier New"/>
          <w:color w:val="404040"/>
          <w:sz w:val="16"/>
        </w:rPr>
        <w:t xml:space="preserve">  5.80% |  ● (Sc.1)</w:t>
      </w:r>
    </w:p>
    <w:p>
      <w:pPr>
        <w:shd w:fill="F5F5F5"/>
      </w:pPr>
      <w:r>
        <w:rPr>
          <w:rFonts w:ascii="Courier New" w:hAnsi="Courier New"/>
          <w:color w:val="404040"/>
          <w:sz w:val="16"/>
        </w:rPr>
        <w:t xml:space="preserve">  5.70% |                              ● (Sc.2)</w:t>
      </w:r>
    </w:p>
    <w:p>
      <w:pPr>
        <w:shd w:fill="F5F5F5"/>
      </w:pPr>
      <w:r>
        <w:rPr>
          <w:rFonts w:ascii="Courier New" w:hAnsi="Courier New"/>
          <w:color w:val="404040"/>
          <w:sz w:val="16"/>
        </w:rPr>
        <w:t xml:space="preserve">  5.60% |          ● (Sc.2)</w:t>
      </w:r>
    </w:p>
    <w:p>
      <w:pPr>
        <w:shd w:fill="F5F5F5"/>
      </w:pPr>
      <w:r>
        <w:rPr>
          <w:rFonts w:ascii="Courier New" w:hAnsi="Courier New"/>
          <w:color w:val="404040"/>
          <w:sz w:val="16"/>
        </w:rPr>
        <w:t xml:space="preserve">  5.50% |                   ● (Sc.2)</w:t>
      </w:r>
    </w:p>
    <w:p>
      <w:pPr>
        <w:shd w:fill="F5F5F5"/>
      </w:pPr>
      <w:r>
        <w:rPr>
          <w:rFonts w:ascii="Courier New" w:hAnsi="Courier New"/>
          <w:color w:val="404040"/>
          <w:sz w:val="16"/>
        </w:rPr>
        <w:t xml:space="preserve">  5.30% |  ● (Sc.2)</w:t>
      </w:r>
    </w:p>
    <w:p>
      <w:pPr>
        <w:shd w:fill="F5F5F5"/>
      </w:pPr>
      <w:r>
        <w:rPr>
          <w:rFonts w:ascii="Courier New" w:hAnsi="Courier New"/>
          <w:color w:val="404040"/>
          <w:sz w:val="16"/>
        </w:rPr>
        <w:t xml:space="preserve">  5.00% |  r₀ ─────────────────────────────── (at-the-money)</w:t>
      </w:r>
    </w:p>
    <w:p>
      <w:pPr>
        <w:shd w:fill="F5F5F5"/>
      </w:pPr>
      <w:r>
        <w:rPr>
          <w:rFonts w:ascii="Courier New" w:hAnsi="Courier New"/>
          <w:color w:val="404040"/>
          <w:sz w:val="16"/>
        </w:rPr>
        <w:t xml:space="preserve">  4.90% |  ● (Sc.3)         ● (Sc.3)</w:t>
      </w:r>
    </w:p>
    <w:p>
      <w:pPr>
        <w:shd w:fill="F5F5F5"/>
      </w:pPr>
      <w:r>
        <w:rPr>
          <w:rFonts w:ascii="Courier New" w:hAnsi="Courier New"/>
          <w:color w:val="404040"/>
          <w:sz w:val="16"/>
        </w:rPr>
        <w:t xml:space="preserve">  4.60% |                              ● (Sc.3)</w:t>
      </w:r>
    </w:p>
    <w:p>
      <w:pPr>
        <w:shd w:fill="F5F5F5"/>
      </w:pPr>
      <w:r>
        <w:rPr>
          <w:rFonts w:ascii="Courier New" w:hAnsi="Courier New"/>
          <w:color w:val="404040"/>
          <w:sz w:val="16"/>
        </w:rPr>
        <w:t xml:space="preserve">  4.50% |                   ● (Sc.5)   ● (Sc.5)</w:t>
      </w:r>
    </w:p>
    <w:p>
      <w:pPr>
        <w:shd w:fill="F5F5F5"/>
      </w:pPr>
      <w:r>
        <w:rPr>
          <w:rFonts w:ascii="Courier New" w:hAnsi="Courier New"/>
          <w:color w:val="404040"/>
          <w:sz w:val="16"/>
        </w:rPr>
        <w:t xml:space="preserve">  4.40% |</w:t>
      </w:r>
    </w:p>
    <w:p>
      <w:pPr>
        <w:shd w:fill="F5F5F5"/>
      </w:pPr>
      <w:r>
        <w:rPr>
          <w:rFonts w:ascii="Courier New" w:hAnsi="Courier New"/>
          <w:color w:val="404040"/>
          <w:sz w:val="16"/>
        </w:rPr>
        <w:t xml:space="preserve">  4.20% |  ● (Sc.4)</w:t>
      </w:r>
    </w:p>
    <w:p>
      <w:pPr>
        <w:shd w:fill="F5F5F5"/>
      </w:pPr>
      <w:r>
        <w:rPr>
          <w:rFonts w:ascii="Courier New" w:hAnsi="Courier New"/>
          <w:color w:val="404040"/>
          <w:sz w:val="16"/>
        </w:rPr>
        <w:t xml:space="preserve">  3.80% |  ● (Sc.6)         ● (Sc.4)</w:t>
      </w:r>
    </w:p>
    <w:p>
      <w:pPr>
        <w:shd w:fill="F5F5F5"/>
      </w:pPr>
      <w:r>
        <w:rPr>
          <w:rFonts w:ascii="Courier New" w:hAnsi="Courier New"/>
          <w:color w:val="404040"/>
          <w:sz w:val="16"/>
        </w:rPr>
        <w:t xml:space="preserve">  3.50% |                   ● (Sc.4)</w:t>
      </w:r>
    </w:p>
    <w:p>
      <w:pPr>
        <w:shd w:fill="F5F5F5"/>
      </w:pPr>
      <w:r>
        <w:rPr>
          <w:rFonts w:ascii="Courier New" w:hAnsi="Courier New"/>
          <w:color w:val="404040"/>
          <w:sz w:val="16"/>
        </w:rPr>
        <w:t xml:space="preserve">  3.30% |                              ● (Sc.4)</w:t>
      </w:r>
    </w:p>
    <w:p>
      <w:pPr>
        <w:shd w:fill="F5F5F5"/>
      </w:pPr>
      <w:r>
        <w:rPr>
          <w:rFonts w:ascii="Courier New" w:hAnsi="Courier New"/>
          <w:color w:val="404040"/>
          <w:sz w:val="16"/>
        </w:rPr>
        <w:t xml:space="preserve">  3.20% |          ● (Sc.6)</w:t>
      </w:r>
    </w:p>
    <w:p>
      <w:pPr>
        <w:shd w:fill="F5F5F5"/>
      </w:pPr>
      <w:r>
        <w:rPr>
          <w:rFonts w:ascii="Courier New" w:hAnsi="Courier New"/>
          <w:color w:val="404040"/>
          <w:sz w:val="16"/>
        </w:rPr>
        <w:t xml:space="preserve">  2.80% |                   ● (Sc.6)</w:t>
      </w:r>
    </w:p>
    <w:p>
      <w:pPr>
        <w:shd w:fill="F5F5F5"/>
      </w:pPr>
      <w:r>
        <w:rPr>
          <w:rFonts w:ascii="Courier New" w:hAnsi="Courier New"/>
          <w:color w:val="404040"/>
          <w:sz w:val="16"/>
        </w:rPr>
        <w:t xml:space="preserve">  2.50% |                              ● (Sc.6)</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0      3m      6m      9m     12m</w:t>
      </w:r>
    </w:p>
    <w:p>
      <w:pPr>
        <w:shd w:fill="F5F5F5"/>
      </w:pPr>
      <w:r>
        <w:rPr>
          <w:rFonts w:ascii="Courier New" w:hAnsi="Courier New"/>
          <w:color w:val="404040"/>
          <w:sz w:val="16"/>
        </w:rPr>
        <w:t xml:space="preserve">  ── mean reversion pulls all paths back toward θ = 4.5% over time</w:t>
      </w:r>
    </w:p>
    <w:p>
      <w:pPr>
        <w:pStyle w:val="Heading3"/>
        <w:jc w:val="left"/>
      </w:pPr>
      <w:r>
        <w:t>C.4 Converting Rate Paths to Mark-to-Market</w:t>
      </w:r>
    </w:p>
    <w:p>
      <w:r>
        <w:t xml:space="preserve">For an IRS the MtM is computed via </w:t>
      </w:r>
      <w:r>
        <w:rPr>
          <w:b/>
        </w:rPr>
        <w:t>bond price change</w:t>
      </w:r>
      <w:r>
        <w:t xml:space="preserve"> using duration and convexity:</w:t>
      </w:r>
    </w:p>
    <w:p>
      <w:pPr>
        <w:shd w:fill="F5F5F5"/>
      </w:pPr>
      <w:r>
        <w:rPr>
          <w:rFonts w:ascii="Courier New" w:hAnsi="Courier New"/>
          <w:color w:val="404040"/>
          <w:sz w:val="16"/>
        </w:rPr>
        <w:t>Δr(t, i)       = r(t, i) − r₀          (rate change from inception)</w:t>
      </w:r>
    </w:p>
    <w:p>
      <w:pPr>
        <w:shd w:fill="F5F5F5"/>
      </w:pPr>
      <w:r>
        <w:rPr>
          <w:rFonts w:ascii="Courier New" w:hAnsi="Courier New"/>
          <w:color w:val="404040"/>
          <w:sz w:val="16"/>
        </w:rPr>
        <w:t>P(r)           = 1 − duration × Δr + 0.5 × convexity × (Δr)²</w:t>
      </w:r>
    </w:p>
    <w:p>
      <w:pPr>
        <w:shd w:fill="F5F5F5"/>
      </w:pPr>
      <w:r>
        <w:rPr>
          <w:rFonts w:ascii="Courier New" w:hAnsi="Courier New"/>
          <w:color w:val="404040"/>
          <w:sz w:val="16"/>
        </w:rPr>
        <w:t>convexity      = 0.05 × duration² / 100</w:t>
      </w:r>
    </w:p>
    <w:p>
      <w:pPr>
        <w:shd w:fill="F5F5F5"/>
      </w:pPr>
      <w:r>
        <w:rPr>
          <w:rFonts w:ascii="Courier New" w:hAnsi="Courier New"/>
          <w:color w:val="404040"/>
          <w:sz w:val="16"/>
        </w:rPr>
        <w:t>duration       = 4.5 years (at inception)</w:t>
      </w:r>
    </w:p>
    <w:p>
      <w:pPr>
        <w:shd w:fill="F5F5F5"/>
      </w:pPr>
      <w:r>
        <w:rPr>
          <w:rFonts w:ascii="Courier New" w:hAnsi="Courier New"/>
          <w:color w:val="404040"/>
          <w:sz w:val="16"/>
        </w:rPr>
        <w:t>MtM(t, i) = Notional × direction × [P(r(t,i)) − 1]</w:t>
      </w:r>
    </w:p>
    <w:p>
      <w:pPr>
        <w:shd w:fill="F5F5F5"/>
      </w:pPr>
      <w:r>
        <w:rPr>
          <w:rFonts w:ascii="Courier New" w:hAnsi="Courier New"/>
          <w:color w:val="404040"/>
          <w:sz w:val="16"/>
        </w:rPr>
        <w:t xml:space="preserve">           = $25,000,000 × (−1) × [−4.5 × Δr + 0.5 × 0.010125 × Δr²]</w:t>
      </w:r>
    </w:p>
    <w:p>
      <w:r>
        <w:rPr>
          <w:b/>
        </w:rPr>
        <w:t>For a pay-fixed swap, direction = −1:</w:t>
      </w:r>
      <w:r>
        <w:t xml:space="preserve"> When rates rise (Δr &gt; 0), the bond price falls, but the bank's position (receiving the fallen fixed-rate bond value) gains → positive MtM.</w:t>
      </w:r>
    </w:p>
    <w:p>
      <w:r>
        <w:rPr>
          <w:b/>
        </w:rPr>
        <w:t>MtM Table (USD):</w:t>
      </w:r>
    </w:p>
    <w:p>
      <w:pPr>
        <w:shd w:fill="F5F5F5"/>
      </w:pPr>
      <w:r>
        <w:rPr>
          <w:rFonts w:ascii="Courier New" w:hAnsi="Courier New"/>
          <w:color w:val="404040"/>
          <w:sz w:val="16"/>
        </w:rPr>
        <w:t>Scenario | Δr@3m    | MtM@3m      | Δr@6m    | MtM@6m      | Δr@12m   | MtM@12m</w:t>
      </w:r>
    </w:p>
    <w:p>
      <w:pPr>
        <w:shd w:fill="F5F5F5"/>
      </w:pPr>
      <w:r>
        <w:rPr>
          <w:rFonts w:ascii="Courier New" w:hAnsi="Courier New"/>
          <w:color w:val="404040"/>
          <w:sz w:val="16"/>
        </w:rPr>
        <w:t>────────────────────────────────────────────────────────────────────────────────────</w:t>
      </w:r>
    </w:p>
    <w:p>
      <w:pPr>
        <w:shd w:fill="F5F5F5"/>
      </w:pPr>
      <w:r>
        <w:rPr>
          <w:rFonts w:ascii="Courier New" w:hAnsi="Courier New"/>
          <w:color w:val="404040"/>
          <w:sz w:val="16"/>
        </w:rPr>
        <w:t xml:space="preserve">  #1      | +0.80%  | +$900,000   | +1.40%  | +$1,575,000  | +2.20%  | +$2,457,500</w:t>
      </w:r>
    </w:p>
    <w:p>
      <w:pPr>
        <w:shd w:fill="F5F5F5"/>
      </w:pPr>
      <w:r>
        <w:rPr>
          <w:rFonts w:ascii="Courier New" w:hAnsi="Courier New"/>
          <w:color w:val="404040"/>
          <w:sz w:val="16"/>
        </w:rPr>
        <w:t xml:space="preserve">  #2      | +0.30%  | +$337,500   | +0.60%  | +$675,000    | +0.70%  | +$787,500</w:t>
      </w:r>
    </w:p>
    <w:p>
      <w:pPr>
        <w:shd w:fill="F5F5F5"/>
      </w:pPr>
      <w:r>
        <w:rPr>
          <w:rFonts w:ascii="Courier New" w:hAnsi="Courier New"/>
          <w:color w:val="404040"/>
          <w:sz w:val="16"/>
        </w:rPr>
        <w:t xml:space="preserve">  #3      | −0.10%  | −$112,500   | −0.30%  | −$337,500    | −0.40%  | −$450,000</w:t>
      </w:r>
    </w:p>
    <w:p>
      <w:pPr>
        <w:shd w:fill="F5F5F5"/>
      </w:pPr>
      <w:r>
        <w:rPr>
          <w:rFonts w:ascii="Courier New" w:hAnsi="Courier New"/>
          <w:color w:val="404040"/>
          <w:sz w:val="16"/>
        </w:rPr>
        <w:t xml:space="preserve">  #4      | −0.80%  | −$900,000   | −1.20%  | −$1,350,000  | −1.70%  | −$1,912,500</w:t>
      </w:r>
    </w:p>
    <w:p>
      <w:pPr>
        <w:shd w:fill="F5F5F5"/>
      </w:pPr>
      <w:r>
        <w:rPr>
          <w:rFonts w:ascii="Courier New" w:hAnsi="Courier New"/>
          <w:color w:val="404040"/>
          <w:sz w:val="16"/>
        </w:rPr>
        <w:t xml:space="preserve">  #5      | +1.10%  | +$1,237,500 | +0.20%  | +$225,000    | −0.60%  | −$675,000</w:t>
      </w:r>
    </w:p>
    <w:p>
      <w:pPr>
        <w:shd w:fill="F5F5F5"/>
      </w:pPr>
      <w:r>
        <w:rPr>
          <w:rFonts w:ascii="Courier New" w:hAnsi="Courier New"/>
          <w:color w:val="404040"/>
          <w:sz w:val="16"/>
        </w:rPr>
        <w:t xml:space="preserve">  #6      | −1.20%  | −$1,350,000 | −1.80%  | −$2,025,000  | −2.50%  | −$2,812,500</w:t>
      </w:r>
    </w:p>
    <w:p>
      <w:pPr>
        <w:shd w:fill="F5F5F5"/>
      </w:pPr>
      <w:r>
        <w:rPr>
          <w:rFonts w:ascii="Courier New" w:hAnsi="Courier New"/>
          <w:color w:val="404040"/>
          <w:sz w:val="16"/>
        </w:rPr>
        <w:t>────────────────────────────────────────────────────────────────────────────────────</w:t>
      </w:r>
    </w:p>
    <w:p>
      <w:r>
        <w:t xml:space="preserve">&gt; </w:t>
      </w:r>
      <w:r>
        <w:rPr>
          <w:b/>
        </w:rPr>
        <w:t>Direction logic for pay-fixed:</w:t>
      </w:r>
      <w:r>
        <w:t xml:space="preserve"> When rates rise by 0.80% (Sc.1 at 3m), the bank is paying below-market. The swap's MtM = +$900k — a gain to the bank. Counterparty default here is costly.</w:t>
      </w:r>
    </w:p>
    <w:p>
      <w:pPr>
        <w:pStyle w:val="Heading3"/>
        <w:jc w:val="left"/>
      </w:pPr>
      <w:r>
        <w:t>C.5 Exposure, EE, EEE, EPE, EEPE, PFE</w:t>
      </w:r>
    </w:p>
    <w:p>
      <w:r>
        <w:rPr>
          <w:b/>
        </w:rPr>
        <w:t>Exposure = max(MtM, 0):</w:t>
      </w:r>
    </w:p>
    <w:p>
      <w:pPr>
        <w:shd w:fill="F5F5F5"/>
      </w:pPr>
      <w:r>
        <w:rPr>
          <w:rFonts w:ascii="Courier New" w:hAnsi="Courier New"/>
          <w:color w:val="404040"/>
          <w:sz w:val="16"/>
        </w:rPr>
        <w:t>Scenario | Exposure@3m  | Exposure@6m   | Exposure@9m  | Exposure@12m</w:t>
      </w:r>
    </w:p>
    <w:p>
      <w:pPr>
        <w:shd w:fill="F5F5F5"/>
      </w:pPr>
      <w:r>
        <w:rPr>
          <w:rFonts w:ascii="Courier New" w:hAnsi="Courier New"/>
          <w:color w:val="404040"/>
          <w:sz w:val="16"/>
        </w:rPr>
        <w:t>──────────────────────────────────────────────────────────────────────</w:t>
      </w:r>
    </w:p>
    <w:p>
      <w:pPr>
        <w:shd w:fill="F5F5F5"/>
      </w:pPr>
      <w:r>
        <w:rPr>
          <w:rFonts w:ascii="Courier New" w:hAnsi="Courier New"/>
          <w:color w:val="404040"/>
          <w:sz w:val="16"/>
        </w:rPr>
        <w:t xml:space="preserve">  #1      | $900,000    | $1,575,000    | $2,160,000   | $2,457,500</w:t>
      </w:r>
    </w:p>
    <w:p>
      <w:pPr>
        <w:shd w:fill="F5F5F5"/>
      </w:pPr>
      <w:r>
        <w:rPr>
          <w:rFonts w:ascii="Courier New" w:hAnsi="Courier New"/>
          <w:color w:val="404040"/>
          <w:sz w:val="16"/>
        </w:rPr>
        <w:t xml:space="preserve">  #2      | $337,500    |   $675,000    |   $787,500   |   $787,500</w:t>
      </w:r>
    </w:p>
    <w:p>
      <w:pPr>
        <w:shd w:fill="F5F5F5"/>
      </w:pPr>
      <w:r>
        <w:rPr>
          <w:rFonts w:ascii="Courier New" w:hAnsi="Courier New"/>
          <w:color w:val="404040"/>
          <w:sz w:val="16"/>
        </w:rPr>
        <w:t xml:space="preserve">  #3      |       $0    |         $0    |         $0   |         $0</w:t>
      </w:r>
    </w:p>
    <w:p>
      <w:pPr>
        <w:shd w:fill="F5F5F5"/>
      </w:pPr>
      <w:r>
        <w:rPr>
          <w:rFonts w:ascii="Courier New" w:hAnsi="Courier New"/>
          <w:color w:val="404040"/>
          <w:sz w:val="16"/>
        </w:rPr>
        <w:t xml:space="preserve">  #4      |       $0    |         $0    |         $0   |         $0</w:t>
      </w:r>
    </w:p>
    <w:p>
      <w:pPr>
        <w:shd w:fill="F5F5F5"/>
      </w:pPr>
      <w:r>
        <w:rPr>
          <w:rFonts w:ascii="Courier New" w:hAnsi="Courier New"/>
          <w:color w:val="404040"/>
          <w:sz w:val="16"/>
        </w:rPr>
        <w:t xml:space="preserve">  #5      | $1,237,500  |   $225,000    |         $0   |         $0</w:t>
      </w:r>
    </w:p>
    <w:p>
      <w:pPr>
        <w:shd w:fill="F5F5F5"/>
      </w:pPr>
      <w:r>
        <w:rPr>
          <w:rFonts w:ascii="Courier New" w:hAnsi="Courier New"/>
          <w:color w:val="404040"/>
          <w:sz w:val="16"/>
        </w:rPr>
        <w:t xml:space="preserve">  #6      |       $0    |         $0    |         $0   |         $0</w:t>
      </w:r>
    </w:p>
    <w:p>
      <w:pPr>
        <w:shd w:fill="F5F5F5"/>
      </w:pPr>
      <w:r>
        <w:rPr>
          <w:rFonts w:ascii="Courier New" w:hAnsi="Courier New"/>
          <w:color w:val="404040"/>
          <w:sz w:val="16"/>
        </w:rPr>
        <w:t>──────────────────────────────────────────────────────────────────────</w:t>
      </w:r>
    </w:p>
    <w:p>
      <w:r>
        <w:rPr>
          <w:b/>
        </w:rPr>
        <w:t>EE (average across 6 scenarios):</w:t>
      </w:r>
    </w:p>
    <w:p>
      <w:pPr>
        <w:shd w:fill="F5F5F5"/>
      </w:pPr>
      <w:r>
        <w:rPr>
          <w:rFonts w:ascii="Courier New" w:hAnsi="Courier New"/>
          <w:color w:val="404040"/>
          <w:sz w:val="16"/>
        </w:rPr>
        <w:t>EE(3m)  = ($900k + $337.5k + $0 + $0 + $1,237.5k + $0) / 6  = $412,500</w:t>
      </w:r>
    </w:p>
    <w:p>
      <w:pPr>
        <w:shd w:fill="F5F5F5"/>
      </w:pPr>
      <w:r>
        <w:rPr>
          <w:rFonts w:ascii="Courier New" w:hAnsi="Courier New"/>
          <w:color w:val="404040"/>
          <w:sz w:val="16"/>
        </w:rPr>
        <w:t>EE(6m)  = ($1,575k + $675k + $0 + $0 + $225k + $0) / 6      = $412,500</w:t>
      </w:r>
    </w:p>
    <w:p>
      <w:pPr>
        <w:shd w:fill="F5F5F5"/>
      </w:pPr>
      <w:r>
        <w:rPr>
          <w:rFonts w:ascii="Courier New" w:hAnsi="Courier New"/>
          <w:color w:val="404040"/>
          <w:sz w:val="16"/>
        </w:rPr>
        <w:t>EE(9m)  = ($2,160k + $787.5k + $0 + $0 + $0 + $0) / 6       = $491,250</w:t>
      </w:r>
    </w:p>
    <w:p>
      <w:pPr>
        <w:shd w:fill="F5F5F5"/>
      </w:pPr>
      <w:r>
        <w:rPr>
          <w:rFonts w:ascii="Courier New" w:hAnsi="Courier New"/>
          <w:color w:val="404040"/>
          <w:sz w:val="16"/>
        </w:rPr>
        <w:t>EE(12m) = ($2,457.5k + $787.5k + $0 + $0 + $0 + $0) / 6     = $540,833</w:t>
      </w:r>
    </w:p>
    <w:p>
      <w:r>
        <w:rPr>
          <w:b/>
        </w:rPr>
        <w:t>EEE (non-decreasing ratchet):</w:t>
      </w:r>
    </w:p>
    <w:p>
      <w:pPr>
        <w:shd w:fill="F5F5F5"/>
      </w:pPr>
      <w:r>
        <w:rPr>
          <w:rFonts w:ascii="Courier New" w:hAnsi="Courier New"/>
          <w:color w:val="404040"/>
          <w:sz w:val="16"/>
        </w:rPr>
        <w:t>EEE(3m)  = $412,500   (= EE — initialised)</w:t>
      </w:r>
    </w:p>
    <w:p>
      <w:pPr>
        <w:shd w:fill="F5F5F5"/>
      </w:pPr>
      <w:r>
        <w:rPr>
          <w:rFonts w:ascii="Courier New" w:hAnsi="Courier New"/>
          <w:color w:val="404040"/>
          <w:sz w:val="16"/>
        </w:rPr>
        <w:t>EEE(6m)  = max($412,500, $412,500) = $412,500   (flat)</w:t>
      </w:r>
    </w:p>
    <w:p>
      <w:pPr>
        <w:shd w:fill="F5F5F5"/>
      </w:pPr>
      <w:r>
        <w:rPr>
          <w:rFonts w:ascii="Courier New" w:hAnsi="Courier New"/>
          <w:color w:val="404040"/>
          <w:sz w:val="16"/>
        </w:rPr>
        <w:t>EEE(9m)  = max($491,250, $412,500) = $491,250   (rises)</w:t>
      </w:r>
    </w:p>
    <w:p>
      <w:pPr>
        <w:shd w:fill="F5F5F5"/>
      </w:pPr>
      <w:r>
        <w:rPr>
          <w:rFonts w:ascii="Courier New" w:hAnsi="Courier New"/>
          <w:color w:val="404040"/>
          <w:sz w:val="16"/>
        </w:rPr>
        <w:t>EEE(12m) = max($540,833, $491,250) = $540,833   (rises further)</w:t>
      </w:r>
    </w:p>
    <w:p>
      <w:r>
        <w:rPr>
          <w:b/>
        </w:rPr>
        <w:t>Scalar Metrics:</w:t>
      </w:r>
    </w:p>
    <w:p>
      <w:pPr>
        <w:shd w:fill="F5F5F5"/>
      </w:pPr>
      <w:r>
        <w:rPr>
          <w:rFonts w:ascii="Courier New" w:hAnsi="Courier New"/>
          <w:color w:val="404040"/>
          <w:sz w:val="16"/>
        </w:rPr>
        <w:t>EPE     = ($412.5k + $412.5k + $491.25k + $540.83k) / 4  ≈ $464,271</w:t>
      </w:r>
    </w:p>
    <w:p>
      <w:pPr>
        <w:shd w:fill="F5F5F5"/>
      </w:pPr>
      <w:r>
        <w:rPr>
          <w:rFonts w:ascii="Courier New" w:hAnsi="Courier New"/>
          <w:color w:val="404040"/>
          <w:sz w:val="16"/>
        </w:rPr>
        <w:t>EEPE    = ($412.5k + $412.5k + $491.25k + $540.83k) / 4  ≈ $464,271</w:t>
      </w:r>
    </w:p>
    <w:p>
      <w:pPr>
        <w:shd w:fill="F5F5F5"/>
      </w:pPr>
      <w:r>
        <w:rPr>
          <w:rFonts w:ascii="Courier New" w:hAnsi="Courier New"/>
          <w:color w:val="404040"/>
          <w:sz w:val="16"/>
        </w:rPr>
        <w:t>EAD_IMM = 1.4 × $464,271 ≈ $649,979</w:t>
      </w:r>
    </w:p>
    <w:p>
      <w:pPr>
        <w:shd w:fill="F5F5F5"/>
      </w:pPr>
      <w:r>
        <w:rPr>
          <w:rFonts w:ascii="Courier New" w:hAnsi="Courier New"/>
          <w:color w:val="404040"/>
          <w:sz w:val="16"/>
        </w:rPr>
        <w:t>PFE(3m)  = $1,237,500   (Scenario 5 — rate spike)</w:t>
      </w:r>
    </w:p>
    <w:p>
      <w:pPr>
        <w:shd w:fill="F5F5F5"/>
      </w:pPr>
      <w:r>
        <w:rPr>
          <w:rFonts w:ascii="Courier New" w:hAnsi="Courier New"/>
          <w:color w:val="404040"/>
          <w:sz w:val="16"/>
        </w:rPr>
        <w:t>PFE(6m)  = $1,575,000   (Scenario 1 — sustained rise)</w:t>
      </w:r>
    </w:p>
    <w:p>
      <w:pPr>
        <w:shd w:fill="F5F5F5"/>
      </w:pPr>
      <w:r>
        <w:rPr>
          <w:rFonts w:ascii="Courier New" w:hAnsi="Courier New"/>
          <w:color w:val="404040"/>
          <w:sz w:val="16"/>
        </w:rPr>
        <w:t>PFE(12m) = $2,457,500   (Scenario 1 — rising rate environment)</w:t>
      </w:r>
    </w:p>
    <w:p>
      <w:pPr>
        <w:pStyle w:val="Heading3"/>
        <w:jc w:val="left"/>
      </w:pPr>
      <w:r>
        <w:t>C.6 Key Insight — IRS Exposure Profile Shape</w:t>
      </w:r>
    </w:p>
    <w:p>
      <w:pPr>
        <w:shd w:fill="F5F5F5"/>
      </w:pPr>
      <w:r>
        <w:rPr>
          <w:rFonts w:ascii="Courier New" w:hAnsi="Courier New"/>
          <w:color w:val="404040"/>
          <w:sz w:val="16"/>
        </w:rPr>
        <w:t>Exposure</w:t>
      </w:r>
    </w:p>
    <w:p>
      <w:pPr>
        <w:shd w:fill="F5F5F5"/>
      </w:pPr>
      <w:r>
        <w:rPr>
          <w:rFonts w:ascii="Courier New" w:hAnsi="Courier New"/>
          <w:color w:val="404040"/>
          <w:sz w:val="16"/>
        </w:rPr>
        <w:t xml:space="preserve"> $2.5M |                              ◇ PFE(12m)</w:t>
      </w:r>
    </w:p>
    <w:p>
      <w:pPr>
        <w:shd w:fill="F5F5F5"/>
      </w:pPr>
      <w:r>
        <w:rPr>
          <w:rFonts w:ascii="Courier New" w:hAnsi="Courier New"/>
          <w:color w:val="404040"/>
          <w:sz w:val="16"/>
        </w:rPr>
        <w:t xml:space="preserve"> $1.6M |          ◇ PFE(6m)</w:t>
      </w:r>
    </w:p>
    <w:p>
      <w:pPr>
        <w:shd w:fill="F5F5F5"/>
      </w:pPr>
      <w:r>
        <w:rPr>
          <w:rFonts w:ascii="Courier New" w:hAnsi="Courier New"/>
          <w:color w:val="404040"/>
          <w:sz w:val="16"/>
        </w:rPr>
        <w:t xml:space="preserve"> $1.2M |  ◇ PFE(3m)</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$541k |                              ● EEE(12m)</w:t>
      </w:r>
    </w:p>
    <w:p>
      <w:pPr>
        <w:shd w:fill="F5F5F5"/>
      </w:pPr>
      <w:r>
        <w:rPr>
          <w:rFonts w:ascii="Courier New" w:hAnsi="Courier New"/>
          <w:color w:val="404040"/>
          <w:sz w:val="16"/>
        </w:rPr>
        <w:t xml:space="preserve"> $491k |                   ● EEE(9m)</w:t>
      </w:r>
    </w:p>
    <w:p>
      <w:pPr>
        <w:shd w:fill="F5F5F5"/>
      </w:pPr>
      <w:r>
        <w:rPr>
          <w:rFonts w:ascii="Courier New" w:hAnsi="Courier New"/>
          <w:color w:val="404040"/>
          <w:sz w:val="16"/>
        </w:rPr>
        <w:t xml:space="preserve"> $464k |  ══════════════════════════  EEPE ≈ $464k</w:t>
      </w:r>
    </w:p>
    <w:p>
      <w:pPr>
        <w:shd w:fill="F5F5F5"/>
      </w:pPr>
      <w:r>
        <w:rPr>
          <w:rFonts w:ascii="Courier New" w:hAnsi="Courier New"/>
          <w:color w:val="404040"/>
          <w:sz w:val="16"/>
        </w:rPr>
        <w:t xml:space="preserve"> $412k |  ●──────────●  EEE(3m)=EEE(6m)</w:t>
      </w:r>
    </w:p>
    <w:p>
      <w:pPr>
        <w:shd w:fill="F5F5F5"/>
      </w:pPr>
      <w:r>
        <w:rPr>
          <w:rFonts w:ascii="Courier New" w:hAnsi="Courier New"/>
          <w:color w:val="404040"/>
          <w:sz w:val="16"/>
        </w:rPr>
        <w:t xml:space="preserve"> $412k |  ◆          ◆  EE(3m)=EE(6m)   ◆ EE(9m)    ◆ EE(12m)</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3m          6m              9m            12m</w:t>
      </w:r>
    </w:p>
    <w:p>
      <w:r>
        <w:rPr>
          <w:b/>
        </w:rPr>
        <w:t>IRS-specific observation:</w:t>
      </w:r>
      <w:r>
        <w:t xml:space="preserve"> The exposure profile for a payer swap is </w:t>
      </w:r>
      <w:r>
        <w:rPr>
          <w:b/>
        </w:rPr>
        <w:t>hump-shaped</w:t>
      </w:r>
      <w:r>
        <w:t xml:space="preserve"> — it rises as rates have time to move away from inception, then falls as the trade approaches maturity (fewer remaining coupons). This hump is less visible here (1-year window) but becomes critical for 10-year swaps. The EEE ratchet ensures the peak of the hump is always preserved in the capital calculation.</w:t>
      </w:r>
    </w:p>
    <w:p>
      <w:r>
        <w:rPr>
          <w:b/>
        </w:rPr>
        <w:t>Stressed scenario (σᵣ = 3.0%, double):</w:t>
      </w:r>
    </w:p>
    <w:p>
      <w:pPr>
        <w:shd w:fill="F5F5F5"/>
      </w:pPr>
      <w:r>
        <w:rPr>
          <w:rFonts w:ascii="Courier New" w:hAnsi="Courier New"/>
          <w:color w:val="404040"/>
          <w:sz w:val="16"/>
        </w:rPr>
        <w:t>Stressed EEPE ≈ $780,000</w:t>
      </w:r>
    </w:p>
    <w:p>
      <w:pPr>
        <w:shd w:fill="F5F5F5"/>
      </w:pPr>
      <w:r>
        <w:rPr>
          <w:rFonts w:ascii="Courier New" w:hAnsi="Courier New"/>
          <w:color w:val="404040"/>
          <w:sz w:val="16"/>
        </w:rPr>
        <w:t>Stressed EAD  = 1.4 × $780,000 = $1,092,000</w:t>
      </w:r>
    </w:p>
    <w:p>
      <w:pPr>
        <w:shd w:fill="F5F5F5"/>
      </w:pPr>
      <w:r>
        <w:rPr>
          <w:rFonts w:ascii="Courier New" w:hAnsi="Courier New"/>
          <w:color w:val="404040"/>
          <w:sz w:val="16"/>
        </w:rPr>
        <w:t>Capital EAD   = max($649,979, $1,092,000) = $1,092,000</w:t>
      </w:r>
    </w:p>
    <w:p>
      <w:pPr>
        <w:pStyle w:val="Heading2"/>
        <w:jc w:val="left"/>
      </w:pPr>
      <w:r>
        <w:t>Appendix D: Monte Carlo Simulation Walk-Through — FX Trade</w:t>
      </w:r>
    </w:p>
    <w:p>
      <w:r>
        <w:t xml:space="preserve">&gt; </w:t>
      </w:r>
      <w:r>
        <w:rPr>
          <w:b/>
        </w:rPr>
        <w:t>Purpose:</w:t>
      </w:r>
      <w:r>
        <w:t xml:space="preserve"> Illustrate how a Foreign Exchange Forward is simulated and how its exposure profile differs from equity and interest rate trades — notably its </w:t>
      </w:r>
      <w:r>
        <w:rPr>
          <w:b/>
        </w:rPr>
        <w:t>linearly growing</w:t>
      </w:r>
      <w:r>
        <w:t xml:space="preserve"> exposure profile.</w:t>
      </w:r>
    </w:p>
    <w:p>
      <w:pPr>
        <w:pStyle w:val="Heading3"/>
        <w:jc w:val="left"/>
      </w:pPr>
      <w:r>
        <w:t>D.1 The Trade</w:t>
      </w:r>
    </w:p>
    <w:p>
      <w:r>
        <w:t xml:space="preserve">&gt; </w:t>
      </w:r>
      <w:r>
        <w:rPr>
          <w:b/>
        </w:rPr>
        <w:t>Product:</w:t>
      </w:r>
      <w:r>
        <w:t xml:space="preserve"> FX Forward — Bank buys EUR, sells USD at maturity</w:t>
      </w:r>
    </w:p>
    <w:p>
      <w:r>
        <w:t xml:space="preserve">&gt; </w:t>
      </w:r>
      <w:r>
        <w:rPr>
          <w:b/>
        </w:rPr>
        <w:t>Notional:</w:t>
      </w:r>
      <w:r>
        <w:t xml:space="preserve"> USD 5,000,000 (≡ EUR 4,545,455 at spot rate 1.10)</w:t>
      </w:r>
    </w:p>
    <w:p>
      <w:r>
        <w:t xml:space="preserve">&gt; </w:t>
      </w:r>
      <w:r>
        <w:rPr>
          <w:b/>
        </w:rPr>
        <w:t>Direction:</w:t>
      </w:r>
      <w:r>
        <w:t xml:space="preserve"> +1 (long EUR / short USD — bank benefits when EUR strengthens)</w:t>
      </w:r>
    </w:p>
    <w:p>
      <w:r>
        <w:t xml:space="preserve">&gt; </w:t>
      </w:r>
      <w:r>
        <w:rPr>
          <w:b/>
        </w:rPr>
        <w:t>Maturity:</w:t>
      </w:r>
      <w:r>
        <w:t xml:space="preserve"> 1 year</w:t>
      </w:r>
    </w:p>
    <w:p>
      <w:r>
        <w:t xml:space="preserve">&gt; </w:t>
      </w:r>
      <w:r>
        <w:rPr>
          <w:b/>
        </w:rPr>
        <w:t>Initial FX Spot Rate (S₀):</w:t>
      </w:r>
      <w:r>
        <w:t xml:space="preserve"> 1.10 USD per EUR</w:t>
      </w:r>
    </w:p>
    <w:p>
      <w:r>
        <w:t xml:space="preserve">&gt; </w:t>
      </w:r>
      <w:r>
        <w:rPr>
          <w:b/>
        </w:rPr>
        <w:t>Forward Rate (K):</w:t>
      </w:r>
      <w:r>
        <w:t xml:space="preserve"> 1.10 (at-the-money forward at inception)</w:t>
      </w:r>
    </w:p>
    <w:p>
      <w:r>
        <w:t xml:space="preserve">&gt; </w:t>
      </w:r>
      <w:r>
        <w:rPr>
          <w:b/>
        </w:rPr>
        <w:t>Volatility (σ_FX):</w:t>
      </w:r>
      <w:r>
        <w:t xml:space="preserve"> 20% per annum</w:t>
      </w:r>
    </w:p>
    <w:p>
      <w:r>
        <w:t xml:space="preserve">&gt; </w:t>
      </w:r>
      <w:r>
        <w:rPr>
          <w:b/>
        </w:rPr>
        <w:t>Drift (μ):</w:t>
      </w:r>
      <w:r>
        <w:t xml:space="preserve"> 5% (risk-neutral drift under covered interest parity)</w:t>
      </w:r>
    </w:p>
    <w:p>
      <w:r>
        <w:rPr>
          <w:b/>
        </w:rPr>
        <w:t>What does "exposure" mean for this trade?</w:t>
      </w:r>
    </w:p>
    <w:p>
      <w:r>
        <w:t>The bank has locked in buying EUR at 1.10. If EUR appreciates to 1.25, the bank buys cheap — the forward is worth +$681,818 (MtM gain). If the counterparty defaults, the bank cannot execute the favourable forward and loses that amount.</w:t>
      </w:r>
    </w:p>
    <w:p>
      <w:r>
        <w:t xml:space="preserve">If EUR depreciates to 0.95, the bank must buy EUR expensively — but if the counterparty defaults, the bank simply cancels the forward and buys EUR at spot (a benefit). </w:t>
      </w:r>
      <w:r>
        <w:rPr>
          <w:b/>
        </w:rPr>
        <w:t>Loss = zero</w:t>
      </w:r>
      <w:r>
        <w:t>.</w:t>
      </w:r>
    </w:p>
    <w:p>
      <w:pPr>
        <w:pStyle w:val="Heading3"/>
        <w:jc w:val="left"/>
      </w:pPr>
      <w:r>
        <w:t>D.2 GBM for FX — Same Formula, Different Interpretation</w:t>
      </w:r>
    </w:p>
    <w:p>
      <w:pPr>
        <w:shd w:fill="F5F5F5"/>
      </w:pPr>
      <w:r>
        <w:rPr>
          <w:rFonts w:ascii="Courier New" w:hAnsi="Courier New"/>
          <w:color w:val="404040"/>
          <w:sz w:val="16"/>
        </w:rPr>
        <w:t>FX Rate paths follow GBM (covered interest parity drift):</w:t>
      </w:r>
    </w:p>
    <w:p>
      <w:pPr>
        <w:shd w:fill="F5F5F5"/>
      </w:pPr>
      <w:r>
        <w:rPr>
          <w:rFonts w:ascii="Courier New" w:hAnsi="Courier New"/>
          <w:color w:val="404040"/>
          <w:sz w:val="16"/>
        </w:rPr>
        <w:t xml:space="preserve">  S(t+dt) = S(t) × exp[(μ − σ²/2)×dt + σ×√dt × Z]</w:t>
      </w:r>
    </w:p>
    <w:p>
      <w:pPr>
        <w:shd w:fill="F5F5F5"/>
      </w:pPr>
      <w:r>
        <w:rPr>
          <w:rFonts w:ascii="Courier New" w:hAnsi="Courier New"/>
          <w:color w:val="404040"/>
          <w:sz w:val="16"/>
        </w:rPr>
        <w:t>Parameters:</w:t>
      </w:r>
    </w:p>
    <w:p>
      <w:pPr>
        <w:shd w:fill="F5F5F5"/>
      </w:pPr>
      <w:r>
        <w:rPr>
          <w:rFonts w:ascii="Courier New" w:hAnsi="Courier New"/>
          <w:color w:val="404040"/>
          <w:sz w:val="16"/>
        </w:rPr>
        <w:t xml:space="preserve">  S₀  = 1.10  (USD/EUR spot)</w:t>
      </w:r>
    </w:p>
    <w:p>
      <w:pPr>
        <w:shd w:fill="F5F5F5"/>
      </w:pPr>
      <w:r>
        <w:rPr>
          <w:rFonts w:ascii="Courier New" w:hAnsi="Courier New"/>
          <w:color w:val="404040"/>
          <w:sz w:val="16"/>
        </w:rPr>
        <w:t xml:space="preserve">  σ   = 0.20  (20% annual FX vol)</w:t>
      </w:r>
    </w:p>
    <w:p>
      <w:pPr>
        <w:shd w:fill="F5F5F5"/>
      </w:pPr>
      <w:r>
        <w:rPr>
          <w:rFonts w:ascii="Courier New" w:hAnsi="Courier New"/>
          <w:color w:val="404040"/>
          <w:sz w:val="16"/>
        </w:rPr>
        <w:t xml:space="preserve">  μ   = 0.05  (5% drift — approximation)</w:t>
      </w:r>
    </w:p>
    <w:p>
      <w:pPr>
        <w:shd w:fill="F5F5F5"/>
      </w:pPr>
      <w:r>
        <w:rPr>
          <w:rFonts w:ascii="Courier New" w:hAnsi="Courier New"/>
          <w:color w:val="404040"/>
          <w:sz w:val="16"/>
        </w:rPr>
        <w:t xml:space="preserve">  K   = 1.10  (forward strike = current spot, at-the-money)</w:t>
      </w:r>
    </w:p>
    <w:p>
      <w:pPr>
        <w:shd w:fill="F5F5F5"/>
      </w:pPr>
      <w:r>
        <w:rPr>
          <w:rFonts w:ascii="Courier New" w:hAnsi="Courier New"/>
          <w:color w:val="404040"/>
          <w:sz w:val="16"/>
        </w:rPr>
        <w:t xml:space="preserve">  dt  = 1/52</w:t>
      </w:r>
    </w:p>
    <w:p>
      <w:r>
        <w:t xml:space="preserve">The </w:t>
      </w:r>
      <w:r>
        <w:rPr>
          <w:b/>
        </w:rPr>
        <w:t>FX forward MtM</w:t>
      </w:r>
      <w:r>
        <w:t xml:space="preserve"> at time t is the present value of the expected payoff at maturity:</w:t>
      </w:r>
    </w:p>
    <w:p>
      <w:pPr>
        <w:shd w:fill="F5F5F5"/>
      </w:pPr>
      <w:r>
        <w:rPr>
          <w:rFonts w:ascii="Courier New" w:hAnsi="Courier New"/>
          <w:color w:val="404040"/>
          <w:sz w:val="16"/>
        </w:rPr>
        <w:t>MtM(t, i) = Notional_USD × (S(t,i) − K) / K</w:t>
      </w:r>
    </w:p>
    <w:p>
      <w:pPr>
        <w:shd w:fill="F5F5F5"/>
      </w:pPr>
      <w:r>
        <w:rPr>
          <w:rFonts w:ascii="Courier New" w:hAnsi="Courier New"/>
          <w:color w:val="404040"/>
          <w:sz w:val="16"/>
        </w:rPr>
        <w:t xml:space="preserve">           = $5,000,000 × (S(t,i) − 1.10) / 1.10</w:t>
      </w:r>
    </w:p>
    <w:p>
      <w:r>
        <w:t>This simplification treats the forward as equivalent to a long FX spot position for exposure purposes (consistent with CRE53 for 1-year horizon).</w:t>
      </w:r>
    </w:p>
    <w:p>
      <w:pPr>
        <w:pStyle w:val="Heading3"/>
        <w:jc w:val="left"/>
      </w:pPr>
      <w:r>
        <w:t>D.3 Six FX Rate Scenarios (USD/EUR)</w:t>
      </w:r>
    </w:p>
    <w:p>
      <w:pPr>
        <w:shd w:fill="F5F5F5"/>
      </w:pPr>
      <w:r>
        <w:rPr>
          <w:rFonts w:ascii="Courier New" w:hAnsi="Courier New"/>
          <w:color w:val="404040"/>
          <w:sz w:val="16"/>
        </w:rPr>
        <w:t>Scenario | 3m       | 6m       | 9m       | 12m      | Outcome</w:t>
      </w:r>
    </w:p>
    <w:p>
      <w:pPr>
        <w:shd w:fill="F5F5F5"/>
      </w:pPr>
      <w:r>
        <w:rPr>
          <w:rFonts w:ascii="Courier New" w:hAnsi="Courier New"/>
          <w:color w:val="404040"/>
          <w:sz w:val="16"/>
        </w:rPr>
        <w:t>────────────────────────────────────────────────────────────────</w:t>
      </w:r>
    </w:p>
    <w:p>
      <w:pPr>
        <w:shd w:fill="F5F5F5"/>
      </w:pPr>
      <w:r>
        <w:rPr>
          <w:rFonts w:ascii="Courier New" w:hAnsi="Courier New"/>
          <w:color w:val="404040"/>
          <w:sz w:val="16"/>
        </w:rPr>
        <w:t xml:space="preserve">  #1      |  1.17   |  1.22   |  1.29   |  1.35    | Strong EUR rally</w:t>
      </w:r>
    </w:p>
    <w:p>
      <w:pPr>
        <w:shd w:fill="F5F5F5"/>
      </w:pPr>
      <w:r>
        <w:rPr>
          <w:rFonts w:ascii="Courier New" w:hAnsi="Courier New"/>
          <w:color w:val="404040"/>
          <w:sz w:val="16"/>
        </w:rPr>
        <w:t xml:space="preserve">  #2      |  1.13   |  1.15   |  1.18   |  1.16    | Moderate EUR gain</w:t>
      </w:r>
    </w:p>
    <w:p>
      <w:pPr>
        <w:shd w:fill="F5F5F5"/>
      </w:pPr>
      <w:r>
        <w:rPr>
          <w:rFonts w:ascii="Courier New" w:hAnsi="Courier New"/>
          <w:color w:val="404040"/>
          <w:sz w:val="16"/>
        </w:rPr>
        <w:t xml:space="preserve">  #3      |  1.09   |  1.11   |  1.08   |  1.10    | Flat / sideways</w:t>
      </w:r>
    </w:p>
    <w:p>
      <w:pPr>
        <w:shd w:fill="F5F5F5"/>
      </w:pPr>
      <w:r>
        <w:rPr>
          <w:rFonts w:ascii="Courier New" w:hAnsi="Courier New"/>
          <w:color w:val="404040"/>
          <w:sz w:val="16"/>
        </w:rPr>
        <w:t xml:space="preserve">  #4      |  1.05   |  1.00   |  0.96   |  0.93    | EUR weakens steadily</w:t>
      </w:r>
    </w:p>
    <w:p>
      <w:pPr>
        <w:shd w:fill="F5F5F5"/>
      </w:pPr>
      <w:r>
        <w:rPr>
          <w:rFonts w:ascii="Courier New" w:hAnsi="Courier New"/>
          <w:color w:val="404040"/>
          <w:sz w:val="16"/>
        </w:rPr>
        <w:t xml:space="preserve">  #5      |  1.20   |  1.08   |  1.02   |  1.05    | Flash rally then reversal</w:t>
      </w:r>
    </w:p>
    <w:p>
      <w:pPr>
        <w:shd w:fill="F5F5F5"/>
      </w:pPr>
      <w:r>
        <w:rPr>
          <w:rFonts w:ascii="Courier New" w:hAnsi="Courier New"/>
          <w:color w:val="404040"/>
          <w:sz w:val="16"/>
        </w:rPr>
        <w:t xml:space="preserve">  #6      |  0.98   |  0.88   |  0.82   |  0.76    | EUR crash (risk-off shock)</w:t>
      </w:r>
    </w:p>
    <w:p>
      <w:pPr>
        <w:shd w:fill="F5F5F5"/>
      </w:pPr>
      <w:r>
        <w:rPr>
          <w:rFonts w:ascii="Courier New" w:hAnsi="Courier New"/>
          <w:color w:val="404040"/>
          <w:sz w:val="16"/>
        </w:rPr>
        <w:t>────────────────────────────────────────────────────────────────</w:t>
      </w:r>
    </w:p>
    <w:p>
      <w:r>
        <w:rPr>
          <w:b/>
        </w:rPr>
        <w:t>Visualisation:</w:t>
      </w:r>
    </w:p>
    <w:p>
      <w:pPr>
        <w:shd w:fill="F5F5F5"/>
      </w:pPr>
      <w:r>
        <w:rPr>
          <w:rFonts w:ascii="Courier New" w:hAnsi="Courier New"/>
          <w:color w:val="404040"/>
          <w:sz w:val="16"/>
        </w:rPr>
        <w:t>FX Rate (USD/EUR)</w:t>
      </w:r>
    </w:p>
    <w:p>
      <w:pPr>
        <w:shd w:fill="F5F5F5"/>
      </w:pPr>
      <w:r>
        <w:rPr>
          <w:rFonts w:ascii="Courier New" w:hAnsi="Courier New"/>
          <w:color w:val="404040"/>
          <w:sz w:val="16"/>
        </w:rPr>
        <w:t xml:space="preserve">  1.35 |                              ● (Sc.1 — EUR strong)</w:t>
      </w:r>
    </w:p>
    <w:p>
      <w:pPr>
        <w:shd w:fill="F5F5F5"/>
      </w:pPr>
      <w:r>
        <w:rPr>
          <w:rFonts w:ascii="Courier New" w:hAnsi="Courier New"/>
          <w:color w:val="404040"/>
          <w:sz w:val="16"/>
        </w:rPr>
        <w:t xml:space="preserve">  1.29 |                   ● (Sc.1)</w:t>
      </w:r>
    </w:p>
    <w:p>
      <w:pPr>
        <w:shd w:fill="F5F5F5"/>
      </w:pPr>
      <w:r>
        <w:rPr>
          <w:rFonts w:ascii="Courier New" w:hAnsi="Courier New"/>
          <w:color w:val="404040"/>
          <w:sz w:val="16"/>
        </w:rPr>
        <w:t xml:space="preserve">  1.22 |          ● (Sc.1)</w:t>
      </w:r>
    </w:p>
    <w:p>
      <w:pPr>
        <w:shd w:fill="F5F5F5"/>
      </w:pPr>
      <w:r>
        <w:rPr>
          <w:rFonts w:ascii="Courier New" w:hAnsi="Courier New"/>
          <w:color w:val="404040"/>
          <w:sz w:val="16"/>
        </w:rPr>
        <w:t xml:space="preserve">  1.20 |          ● (Sc.5)</w:t>
      </w:r>
    </w:p>
    <w:p>
      <w:pPr>
        <w:shd w:fill="F5F5F5"/>
      </w:pPr>
      <w:r>
        <w:rPr>
          <w:rFonts w:ascii="Courier New" w:hAnsi="Courier New"/>
          <w:color w:val="404040"/>
          <w:sz w:val="16"/>
        </w:rPr>
        <w:t xml:space="preserve">  1.18 |                   ● (Sc.2)</w:t>
      </w:r>
    </w:p>
    <w:p>
      <w:pPr>
        <w:shd w:fill="F5F5F5"/>
      </w:pPr>
      <w:r>
        <w:rPr>
          <w:rFonts w:ascii="Courier New" w:hAnsi="Courier New"/>
          <w:color w:val="404040"/>
          <w:sz w:val="16"/>
        </w:rPr>
        <w:t xml:space="preserve">  1.17 |  ● (Sc.1)</w:t>
      </w:r>
    </w:p>
    <w:p>
      <w:pPr>
        <w:shd w:fill="F5F5F5"/>
      </w:pPr>
      <w:r>
        <w:rPr>
          <w:rFonts w:ascii="Courier New" w:hAnsi="Courier New"/>
          <w:color w:val="404040"/>
          <w:sz w:val="16"/>
        </w:rPr>
        <w:t xml:space="preserve">  1.16 |                              ● (Sc.2)</w:t>
      </w:r>
    </w:p>
    <w:p>
      <w:pPr>
        <w:shd w:fill="F5F5F5"/>
      </w:pPr>
      <w:r>
        <w:rPr>
          <w:rFonts w:ascii="Courier New" w:hAnsi="Courier New"/>
          <w:color w:val="404040"/>
          <w:sz w:val="16"/>
        </w:rPr>
        <w:t xml:space="preserve">  1.13 |  ● (Sc.2)</w:t>
      </w:r>
    </w:p>
    <w:p>
      <w:pPr>
        <w:shd w:fill="F5F5F5"/>
      </w:pPr>
      <w:r>
        <w:rPr>
          <w:rFonts w:ascii="Courier New" w:hAnsi="Courier New"/>
          <w:color w:val="404040"/>
          <w:sz w:val="16"/>
        </w:rPr>
        <w:t xml:space="preserve">  1.11 |          ● (Sc.3)</w:t>
      </w:r>
    </w:p>
    <w:p>
      <w:pPr>
        <w:shd w:fill="F5F5F5"/>
      </w:pPr>
      <w:r>
        <w:rPr>
          <w:rFonts w:ascii="Courier New" w:hAnsi="Courier New"/>
          <w:color w:val="404040"/>
          <w:sz w:val="16"/>
        </w:rPr>
        <w:t xml:space="preserve">  1.10 |  S₀/K ──────────────────────────── ● (Sc.3)</w:t>
      </w:r>
    </w:p>
    <w:p>
      <w:pPr>
        <w:shd w:fill="F5F5F5"/>
      </w:pPr>
      <w:r>
        <w:rPr>
          <w:rFonts w:ascii="Courier New" w:hAnsi="Courier New"/>
          <w:color w:val="404040"/>
          <w:sz w:val="16"/>
        </w:rPr>
        <w:t xml:space="preserve">  1.09 |  ● (Sc.3)</w:t>
      </w:r>
    </w:p>
    <w:p>
      <w:pPr>
        <w:shd w:fill="F5F5F5"/>
      </w:pPr>
      <w:r>
        <w:rPr>
          <w:rFonts w:ascii="Courier New" w:hAnsi="Courier New"/>
          <w:color w:val="404040"/>
          <w:sz w:val="16"/>
        </w:rPr>
        <w:t xml:space="preserve">  1.08 |                   ● (Sc.3)         ● (Sc.5)</w:t>
      </w:r>
    </w:p>
    <w:p>
      <w:pPr>
        <w:shd w:fill="F5F5F5"/>
      </w:pPr>
      <w:r>
        <w:rPr>
          <w:rFonts w:ascii="Courier New" w:hAnsi="Courier New"/>
          <w:color w:val="404040"/>
          <w:sz w:val="16"/>
        </w:rPr>
        <w:t xml:space="preserve">  1.05 |  ● (Sc.4)                          ● (Sc.5)</w:t>
      </w:r>
    </w:p>
    <w:p>
      <w:pPr>
        <w:shd w:fill="F5F5F5"/>
      </w:pPr>
      <w:r>
        <w:rPr>
          <w:rFonts w:ascii="Courier New" w:hAnsi="Courier New"/>
          <w:color w:val="404040"/>
          <w:sz w:val="16"/>
        </w:rPr>
        <w:t xml:space="preserve">  1.02 |                   ● (Sc.5)</w:t>
      </w:r>
    </w:p>
    <w:p>
      <w:pPr>
        <w:shd w:fill="F5F5F5"/>
      </w:pPr>
      <w:r>
        <w:rPr>
          <w:rFonts w:ascii="Courier New" w:hAnsi="Courier New"/>
          <w:color w:val="404040"/>
          <w:sz w:val="16"/>
        </w:rPr>
        <w:t xml:space="preserve">  1.00 |          ● (Sc.4)</w:t>
      </w:r>
    </w:p>
    <w:p>
      <w:pPr>
        <w:shd w:fill="F5F5F5"/>
      </w:pPr>
      <w:r>
        <w:rPr>
          <w:rFonts w:ascii="Courier New" w:hAnsi="Courier New"/>
          <w:color w:val="404040"/>
          <w:sz w:val="16"/>
        </w:rPr>
        <w:t xml:space="preserve">  0.98 |  ● (Sc.6)</w:t>
      </w:r>
    </w:p>
    <w:p>
      <w:pPr>
        <w:shd w:fill="F5F5F5"/>
      </w:pPr>
      <w:r>
        <w:rPr>
          <w:rFonts w:ascii="Courier New" w:hAnsi="Courier New"/>
          <w:color w:val="404040"/>
          <w:sz w:val="16"/>
        </w:rPr>
        <w:t xml:space="preserve">  0.96 |                   ● (Sc.4)</w:t>
      </w:r>
    </w:p>
    <w:p>
      <w:pPr>
        <w:shd w:fill="F5F5F5"/>
      </w:pPr>
      <w:r>
        <w:rPr>
          <w:rFonts w:ascii="Courier New" w:hAnsi="Courier New"/>
          <w:color w:val="404040"/>
          <w:sz w:val="16"/>
        </w:rPr>
        <w:t xml:space="preserve">  0.93 |                              ● (Sc.4)</w:t>
      </w:r>
    </w:p>
    <w:p>
      <w:pPr>
        <w:shd w:fill="F5F5F5"/>
      </w:pPr>
      <w:r>
        <w:rPr>
          <w:rFonts w:ascii="Courier New" w:hAnsi="Courier New"/>
          <w:color w:val="404040"/>
          <w:sz w:val="16"/>
        </w:rPr>
        <w:t xml:space="preserve">  0.88 |          ● (Sc.6)</w:t>
      </w:r>
    </w:p>
    <w:p>
      <w:pPr>
        <w:shd w:fill="F5F5F5"/>
      </w:pPr>
      <w:r>
        <w:rPr>
          <w:rFonts w:ascii="Courier New" w:hAnsi="Courier New"/>
          <w:color w:val="404040"/>
          <w:sz w:val="16"/>
        </w:rPr>
        <w:t xml:space="preserve">  0.82 |                   ● (Sc.6)</w:t>
      </w:r>
    </w:p>
    <w:p>
      <w:pPr>
        <w:shd w:fill="F5F5F5"/>
      </w:pPr>
      <w:r>
        <w:rPr>
          <w:rFonts w:ascii="Courier New" w:hAnsi="Courier New"/>
          <w:color w:val="404040"/>
          <w:sz w:val="16"/>
        </w:rPr>
        <w:t xml:space="preserve">  0.76 |                              ● (Sc.6 — EUR crash)</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0      3m      6m       9m      12m</w:t>
      </w:r>
    </w:p>
    <w:p>
      <w:pPr>
        <w:pStyle w:val="Heading3"/>
        <w:jc w:val="left"/>
      </w:pPr>
      <w:r>
        <w:t>D.4 MtM, Exposure, EE, EEE and Key Metrics</w:t>
      </w:r>
    </w:p>
    <w:p>
      <w:r>
        <w:rPr>
          <w:b/>
        </w:rPr>
        <w:t>MtM Table (USD):</w:t>
      </w:r>
    </w:p>
    <w:p>
      <w:pPr>
        <w:shd w:fill="F5F5F5"/>
      </w:pPr>
      <w:r>
        <w:rPr>
          <w:rFonts w:ascii="Courier New" w:hAnsi="Courier New"/>
          <w:color w:val="404040"/>
          <w:sz w:val="16"/>
        </w:rPr>
        <w:t>Scenario | MtM@3m       | MtM@6m       | MtM@9m       | MtM@12m</w:t>
      </w:r>
    </w:p>
    <w:p>
      <w:pPr>
        <w:shd w:fill="F5F5F5"/>
      </w:pPr>
      <w:r>
        <w:rPr>
          <w:rFonts w:ascii="Courier New" w:hAnsi="Courier New"/>
          <w:color w:val="404040"/>
          <w:sz w:val="16"/>
        </w:rPr>
        <w:t>─────────────────────────────────────────────────────────────────────</w:t>
      </w:r>
    </w:p>
    <w:p>
      <w:pPr>
        <w:shd w:fill="F5F5F5"/>
      </w:pPr>
      <w:r>
        <w:rPr>
          <w:rFonts w:ascii="Courier New" w:hAnsi="Courier New"/>
          <w:color w:val="404040"/>
          <w:sz w:val="16"/>
        </w:rPr>
        <w:t xml:space="preserve">  #1      | +$318,182   | +$545,455   | +$863,636   | +$1,136,364</w:t>
      </w:r>
    </w:p>
    <w:p>
      <w:pPr>
        <w:shd w:fill="F5F5F5"/>
      </w:pPr>
      <w:r>
        <w:rPr>
          <w:rFonts w:ascii="Courier New" w:hAnsi="Courier New"/>
          <w:color w:val="404040"/>
          <w:sz w:val="16"/>
        </w:rPr>
        <w:t xml:space="preserve">  #2      | +$136,364   | +$227,273   | +$363,636   |   +$272,727</w:t>
      </w:r>
    </w:p>
    <w:p>
      <w:pPr>
        <w:shd w:fill="F5F5F5"/>
      </w:pPr>
      <w:r>
        <w:rPr>
          <w:rFonts w:ascii="Courier New" w:hAnsi="Courier New"/>
          <w:color w:val="404040"/>
          <w:sz w:val="16"/>
        </w:rPr>
        <w:t xml:space="preserve">  #3      | −$45,455    |   +$45,455  | −$90,909    |           $0</w:t>
      </w:r>
    </w:p>
    <w:p>
      <w:pPr>
        <w:shd w:fill="F5F5F5"/>
      </w:pPr>
      <w:r>
        <w:rPr>
          <w:rFonts w:ascii="Courier New" w:hAnsi="Courier New"/>
          <w:color w:val="404040"/>
          <w:sz w:val="16"/>
        </w:rPr>
        <w:t xml:space="preserve">  #4      | −$227,273   | −$454,545   | −$636,364   |   −$772,727</w:t>
      </w:r>
    </w:p>
    <w:p>
      <w:pPr>
        <w:shd w:fill="F5F5F5"/>
      </w:pPr>
      <w:r>
        <w:rPr>
          <w:rFonts w:ascii="Courier New" w:hAnsi="Courier New"/>
          <w:color w:val="404040"/>
          <w:sz w:val="16"/>
        </w:rPr>
        <w:t xml:space="preserve">  #5      | +$454,545   | −$90,909    | −$363,636   |   −$227,273</w:t>
      </w:r>
    </w:p>
    <w:p>
      <w:pPr>
        <w:shd w:fill="F5F5F5"/>
      </w:pPr>
      <w:r>
        <w:rPr>
          <w:rFonts w:ascii="Courier New" w:hAnsi="Courier New"/>
          <w:color w:val="404040"/>
          <w:sz w:val="16"/>
        </w:rPr>
        <w:t xml:space="preserve">  #6      | −$545,455   | −$1,000,000 | −$1,272,727 | −$1,545,455</w:t>
      </w:r>
    </w:p>
    <w:p>
      <w:pPr>
        <w:shd w:fill="F5F5F5"/>
      </w:pPr>
      <w:r>
        <w:rPr>
          <w:rFonts w:ascii="Courier New" w:hAnsi="Courier New"/>
          <w:color w:val="404040"/>
          <w:sz w:val="16"/>
        </w:rPr>
        <w:t>─────────────────────────────────────────────────────────────────────</w:t>
      </w:r>
    </w:p>
    <w:p>
      <w:r>
        <w:rPr>
          <w:b/>
        </w:rPr>
        <w:t>Exposure = max(MtM, 0):</w:t>
      </w:r>
    </w:p>
    <w:p>
      <w:pPr>
        <w:shd w:fill="F5F5F5"/>
      </w:pPr>
      <w:r>
        <w:rPr>
          <w:rFonts w:ascii="Courier New" w:hAnsi="Courier New"/>
          <w:color w:val="404040"/>
          <w:sz w:val="16"/>
        </w:rPr>
        <w:t>EE(3m)  = ($318k + $136k + $0 + $0 + $454.5k + $0) / 6  = $151,515</w:t>
      </w:r>
    </w:p>
    <w:p>
      <w:pPr>
        <w:shd w:fill="F5F5F5"/>
      </w:pPr>
      <w:r>
        <w:rPr>
          <w:rFonts w:ascii="Courier New" w:hAnsi="Courier New"/>
          <w:color w:val="404040"/>
          <w:sz w:val="16"/>
        </w:rPr>
        <w:t>EE(6m)  = ($545k + $227k + $45.5k + $0 + $0 + $0) / 6   = $136,290</w:t>
      </w:r>
    </w:p>
    <w:p>
      <w:pPr>
        <w:shd w:fill="F5F5F5"/>
      </w:pPr>
      <w:r>
        <w:rPr>
          <w:rFonts w:ascii="Courier New" w:hAnsi="Courier New"/>
          <w:color w:val="404040"/>
          <w:sz w:val="16"/>
        </w:rPr>
        <w:t>EE(9m)  = ($864k + $364k + $0 + $0 + $0 + $0) / 6       = $204,545</w:t>
      </w:r>
    </w:p>
    <w:p>
      <w:pPr>
        <w:shd w:fill="F5F5F5"/>
      </w:pPr>
      <w:r>
        <w:rPr>
          <w:rFonts w:ascii="Courier New" w:hAnsi="Courier New"/>
          <w:color w:val="404040"/>
          <w:sz w:val="16"/>
        </w:rPr>
        <w:t>EE(12m) = ($1,136k + $273k + $0 + $0 + $0 + $0) / 6     = $234,848</w:t>
      </w:r>
    </w:p>
    <w:p>
      <w:r>
        <w:rPr>
          <w:b/>
        </w:rPr>
        <w:t>EEE (ratchet applied):</w:t>
      </w:r>
    </w:p>
    <w:p>
      <w:pPr>
        <w:shd w:fill="F5F5F5"/>
      </w:pPr>
      <w:r>
        <w:rPr>
          <w:rFonts w:ascii="Courier New" w:hAnsi="Courier New"/>
          <w:color w:val="404040"/>
          <w:sz w:val="16"/>
        </w:rPr>
        <w:t>EEE(3m)  = $151,515</w:t>
      </w:r>
    </w:p>
    <w:p>
      <w:pPr>
        <w:shd w:fill="F5F5F5"/>
      </w:pPr>
      <w:r>
        <w:rPr>
          <w:rFonts w:ascii="Courier New" w:hAnsi="Courier New"/>
          <w:color w:val="404040"/>
          <w:sz w:val="16"/>
        </w:rPr>
        <w:t>EEE(6m)  = max($136,290, $151,515) = $151,515   ← EE fell — ratchet holds!</w:t>
      </w:r>
    </w:p>
    <w:p>
      <w:pPr>
        <w:shd w:fill="F5F5F5"/>
      </w:pPr>
      <w:r>
        <w:rPr>
          <w:rFonts w:ascii="Courier New" w:hAnsi="Courier New"/>
          <w:color w:val="404040"/>
          <w:sz w:val="16"/>
        </w:rPr>
        <w:t>EEE(9m)  = max($204,545, $151,515) = $204,545</w:t>
      </w:r>
    </w:p>
    <w:p>
      <w:pPr>
        <w:shd w:fill="F5F5F5"/>
      </w:pPr>
      <w:r>
        <w:rPr>
          <w:rFonts w:ascii="Courier New" w:hAnsi="Courier New"/>
          <w:color w:val="404040"/>
          <w:sz w:val="16"/>
        </w:rPr>
        <w:t>EEE(12m) = max($234,848, $204,545) = $234,848</w:t>
      </w:r>
    </w:p>
    <w:p>
      <w:r>
        <w:t xml:space="preserve">&gt; </w:t>
      </w:r>
      <w:r>
        <w:rPr>
          <w:b/>
        </w:rPr>
        <w:t>Ratchet in action:</w:t>
      </w:r>
      <w:r>
        <w:t xml:space="preserve"> EE actually </w:t>
      </w:r>
      <w:r>
        <w:rPr>
          <w:b/>
        </w:rPr>
        <w:t>fell</w:t>
      </w:r>
      <w:r>
        <w:t xml:space="preserve"> at 6m (Scenario 5's spike had already reversed). Without the EEE ratchet, the bank would appear to have lower exposure at 6m — which would reduce capital. The non-decreasing constraint prevents this.</w:t>
      </w:r>
    </w:p>
    <w:p>
      <w:r>
        <w:rPr>
          <w:b/>
        </w:rPr>
        <w:t>Scalar Metrics:</w:t>
      </w:r>
    </w:p>
    <w:p>
      <w:pPr>
        <w:shd w:fill="F5F5F5"/>
      </w:pPr>
      <w:r>
        <w:rPr>
          <w:rFonts w:ascii="Courier New" w:hAnsi="Courier New"/>
          <w:color w:val="404040"/>
          <w:sz w:val="16"/>
        </w:rPr>
        <w:t>EPE     ≈ ($151.5k + $136.3k + $204.5k + $234.8k) / 4 ≈ $181,788</w:t>
      </w:r>
    </w:p>
    <w:p>
      <w:pPr>
        <w:shd w:fill="F5F5F5"/>
      </w:pPr>
      <w:r>
        <w:rPr>
          <w:rFonts w:ascii="Courier New" w:hAnsi="Courier New"/>
          <w:color w:val="404040"/>
          <w:sz w:val="16"/>
        </w:rPr>
        <w:t>EEPE    ≈ ($151.5k + $151.5k + $204.5k + $234.8k) / 4 ≈ $185,563</w:t>
      </w:r>
    </w:p>
    <w:p>
      <w:pPr>
        <w:shd w:fill="F5F5F5"/>
      </w:pPr>
      <w:r>
        <w:rPr>
          <w:rFonts w:ascii="Courier New" w:hAnsi="Courier New"/>
          <w:color w:val="404040"/>
          <w:sz w:val="16"/>
        </w:rPr>
        <w:t>EAD_IMM = 1.4 × $185,563 ≈ $259,788</w:t>
      </w:r>
    </w:p>
    <w:p>
      <w:pPr>
        <w:shd w:fill="F5F5F5"/>
      </w:pPr>
      <w:r>
        <w:rPr>
          <w:rFonts w:ascii="Courier New" w:hAnsi="Courier New"/>
          <w:color w:val="404040"/>
          <w:sz w:val="16"/>
        </w:rPr>
        <w:t>PFE(3m)  = $454,545    (Scenario 5 — flash rally)</w:t>
      </w:r>
    </w:p>
    <w:p>
      <w:pPr>
        <w:shd w:fill="F5F5F5"/>
      </w:pPr>
      <w:r>
        <w:rPr>
          <w:rFonts w:ascii="Courier New" w:hAnsi="Courier New"/>
          <w:color w:val="404040"/>
          <w:sz w:val="16"/>
        </w:rPr>
        <w:t>PFE(6m)  = $545,455    (Scenario 1 — sustained EUR rally)</w:t>
      </w:r>
    </w:p>
    <w:p>
      <w:pPr>
        <w:shd w:fill="F5F5F5"/>
      </w:pPr>
      <w:r>
        <w:rPr>
          <w:rFonts w:ascii="Courier New" w:hAnsi="Courier New"/>
          <w:color w:val="404040"/>
          <w:sz w:val="16"/>
        </w:rPr>
        <w:t>PFE(12m) = $1,136,364  (Scenario 1 — EUR at 1.35)</w:t>
      </w:r>
    </w:p>
    <w:p>
      <w:pPr>
        <w:pStyle w:val="Heading3"/>
        <w:jc w:val="left"/>
      </w:pPr>
      <w:r>
        <w:t>D.5 Key Insight — FX Exposure Profile Shape</w:t>
      </w:r>
    </w:p>
    <w:p>
      <w:pPr>
        <w:shd w:fill="F5F5F5"/>
      </w:pPr>
      <w:r>
        <w:rPr>
          <w:rFonts w:ascii="Courier New" w:hAnsi="Courier New"/>
          <w:color w:val="404040"/>
          <w:sz w:val="16"/>
        </w:rPr>
        <w:t>Exposure</w:t>
      </w:r>
    </w:p>
    <w:p>
      <w:pPr>
        <w:shd w:fill="F5F5F5"/>
      </w:pPr>
      <w:r>
        <w:rPr>
          <w:rFonts w:ascii="Courier New" w:hAnsi="Courier New"/>
          <w:color w:val="404040"/>
          <w:sz w:val="16"/>
        </w:rPr>
        <w:t xml:space="preserve"> $1.14M |                              ◇ PFE(12m)</w:t>
      </w:r>
    </w:p>
    <w:p>
      <w:pPr>
        <w:shd w:fill="F5F5F5"/>
      </w:pPr>
      <w:r>
        <w:rPr>
          <w:rFonts w:ascii="Courier New" w:hAnsi="Courier New"/>
          <w:color w:val="404040"/>
          <w:sz w:val="16"/>
        </w:rPr>
        <w:t xml:space="preserve"> $545k  |          ◇ PFE(6m)</w:t>
      </w:r>
    </w:p>
    <w:p>
      <w:pPr>
        <w:shd w:fill="F5F5F5"/>
      </w:pPr>
      <w:r>
        <w:rPr>
          <w:rFonts w:ascii="Courier New" w:hAnsi="Courier New"/>
          <w:color w:val="404040"/>
          <w:sz w:val="16"/>
        </w:rPr>
        <w:t xml:space="preserve"> $454k  |  ◇ PFE(3m)</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$235k  |                              ● EEE(12m)</w:t>
      </w:r>
    </w:p>
    <w:p>
      <w:pPr>
        <w:shd w:fill="F5F5F5"/>
      </w:pPr>
      <w:r>
        <w:rPr>
          <w:rFonts w:ascii="Courier New" w:hAnsi="Courier New"/>
          <w:color w:val="404040"/>
          <w:sz w:val="16"/>
        </w:rPr>
        <w:t xml:space="preserve"> $205k  |                   ● EEE(9m)</w:t>
      </w:r>
    </w:p>
    <w:p>
      <w:pPr>
        <w:shd w:fill="F5F5F5"/>
      </w:pPr>
      <w:r>
        <w:rPr>
          <w:rFonts w:ascii="Courier New" w:hAnsi="Courier New"/>
          <w:color w:val="404040"/>
          <w:sz w:val="16"/>
        </w:rPr>
        <w:t xml:space="preserve"> $186k  |  ══════════════════════════  EEPE ≈ $186k</w:t>
      </w:r>
    </w:p>
    <w:p>
      <w:pPr>
        <w:shd w:fill="F5F5F5"/>
      </w:pPr>
      <w:r>
        <w:rPr>
          <w:rFonts w:ascii="Courier New" w:hAnsi="Courier New"/>
          <w:color w:val="404040"/>
          <w:sz w:val="16"/>
        </w:rPr>
        <w:t xml:space="preserve"> $152k  |  ●─────────●  EEE(3m)=EEE(6m) (ratchet held flat)</w:t>
      </w:r>
    </w:p>
    <w:p>
      <w:pPr>
        <w:shd w:fill="F5F5F5"/>
      </w:pPr>
      <w:r>
        <w:rPr>
          <w:rFonts w:ascii="Courier New" w:hAnsi="Courier New"/>
          <w:color w:val="404040"/>
          <w:sz w:val="16"/>
        </w:rPr>
        <w:t xml:space="preserve"> $152k  |  ◆         ●  EE(3m) &gt; EE(6m) ← dip captured by ratchet</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3m          6m            9m            12m</w:t>
      </w:r>
    </w:p>
    <w:p>
      <w:r>
        <w:rPr>
          <w:b/>
        </w:rPr>
        <w:t>FX-specific observation:</w:t>
      </w:r>
      <w:r>
        <w:t xml:space="preserve"> FX forwards have a naturally </w:t>
      </w:r>
      <w:r>
        <w:rPr>
          <w:b/>
        </w:rPr>
        <w:t>increasing exposure profile</w:t>
      </w:r>
      <w:r>
        <w:t xml:space="preserve"> — the further into the future, the wider the range of possible exchange rates (GBM dispersion grows as √t). This is why large FX forward books are capital-intensive even when they appear hedged on a notional basis. The EEE ratchet is particularly important when short-dated FX spikes reverse, as seen in Scenario 5.</w:t>
      </w:r>
    </w:p>
    <w:p>
      <w:r>
        <w:rPr>
          <w:b/>
        </w:rPr>
        <w:t>Stressed scenario (σ_FX = 40%):</w:t>
      </w:r>
    </w:p>
    <w:p>
      <w:pPr>
        <w:shd w:fill="F5F5F5"/>
      </w:pPr>
      <w:r>
        <w:rPr>
          <w:rFonts w:ascii="Courier New" w:hAnsi="Courier New"/>
          <w:color w:val="404040"/>
          <w:sz w:val="16"/>
        </w:rPr>
        <w:t>Stressed EEPE ≈ $315,000</w:t>
      </w:r>
    </w:p>
    <w:p>
      <w:pPr>
        <w:shd w:fill="F5F5F5"/>
      </w:pPr>
      <w:r>
        <w:rPr>
          <w:rFonts w:ascii="Courier New" w:hAnsi="Courier New"/>
          <w:color w:val="404040"/>
          <w:sz w:val="16"/>
        </w:rPr>
        <w:t>Stressed EAD  = 1.4 × $315,000 = $441,000</w:t>
      </w:r>
    </w:p>
    <w:p>
      <w:pPr>
        <w:shd w:fill="F5F5F5"/>
      </w:pPr>
      <w:r>
        <w:rPr>
          <w:rFonts w:ascii="Courier New" w:hAnsi="Courier New"/>
          <w:color w:val="404040"/>
          <w:sz w:val="16"/>
        </w:rPr>
        <w:t>Capital EAD   = max($259,788, $441,000) = $441,000</w:t>
      </w:r>
    </w:p>
    <w:p>
      <w:pPr>
        <w:pStyle w:val="Heading2"/>
        <w:jc w:val="left"/>
      </w:pPr>
      <w:r>
        <w:t>Appendix E: Monte Carlo Simulation Walk-Through — Commodity Trade</w:t>
      </w:r>
    </w:p>
    <w:p>
      <w:r>
        <w:t xml:space="preserve">&gt; </w:t>
      </w:r>
      <w:r>
        <w:rPr>
          <w:b/>
        </w:rPr>
        <w:t>Purpose:</w:t>
      </w:r>
      <w:r>
        <w:t xml:space="preserve"> Illustrate how a commodity forward (e.g., oil) is simulated under GBM. Commodity trades are characterised by </w:t>
      </w:r>
      <w:r>
        <w:rPr>
          <w:b/>
        </w:rPr>
        <w:t>higher base volatility</w:t>
      </w:r>
      <w:r>
        <w:t xml:space="preserve"> (30%) and pronounced </w:t>
      </w:r>
      <w:r>
        <w:rPr>
          <w:b/>
        </w:rPr>
        <w:t>seasonal/supply-shock dynamics</w:t>
      </w:r>
      <w:r>
        <w:t xml:space="preserve"> that make the stressed capital charge significantly higher than other asset classes.</w:t>
      </w:r>
    </w:p>
    <w:p>
      <w:pPr>
        <w:pStyle w:val="Heading3"/>
        <w:jc w:val="left"/>
      </w:pPr>
      <w:r>
        <w:t>E.1 The Trade</w:t>
      </w:r>
    </w:p>
    <w:p>
      <w:r>
        <w:t xml:space="preserve">&gt; </w:t>
      </w:r>
      <w:r>
        <w:rPr>
          <w:b/>
        </w:rPr>
        <w:t>Product:</w:t>
      </w:r>
      <w:r>
        <w:t xml:space="preserve"> Commodity Forward — Long Oil (bank receives oil price return)</w:t>
      </w:r>
    </w:p>
    <w:p>
      <w:r>
        <w:t xml:space="preserve">&gt; </w:t>
      </w:r>
      <w:r>
        <w:rPr>
          <w:b/>
        </w:rPr>
        <w:t>Underlying:</w:t>
      </w:r>
      <w:r>
        <w:t xml:space="preserve"> Crude Oil (Brent) forward</w:t>
      </w:r>
    </w:p>
    <w:p>
      <w:r>
        <w:t xml:space="preserve">&gt; </w:t>
      </w:r>
      <w:r>
        <w:rPr>
          <w:b/>
        </w:rPr>
        <w:t>Notional:</w:t>
      </w:r>
      <w:r>
        <w:t xml:space="preserve"> USD 8,000,000</w:t>
      </w:r>
    </w:p>
    <w:p>
      <w:r>
        <w:t xml:space="preserve">&gt; </w:t>
      </w:r>
      <w:r>
        <w:rPr>
          <w:b/>
        </w:rPr>
        <w:t>Direction:</w:t>
      </w:r>
      <w:r>
        <w:t xml:space="preserve"> +1 (long — bank benefits if oil price rises)</w:t>
      </w:r>
    </w:p>
    <w:p>
      <w:r>
        <w:t xml:space="preserve">&gt; </w:t>
      </w:r>
      <w:r>
        <w:rPr>
          <w:b/>
        </w:rPr>
        <w:t>Initial Price (S₀):</w:t>
      </w:r>
      <w:r>
        <w:t xml:space="preserve"> 80 USD/barrel (reference price — normalised)</w:t>
      </w:r>
    </w:p>
    <w:p>
      <w:r>
        <w:t xml:space="preserve">&gt; </w:t>
      </w:r>
      <w:r>
        <w:rPr>
          <w:b/>
        </w:rPr>
        <w:t>Forward Price (K):</w:t>
      </w:r>
      <w:r>
        <w:t xml:space="preserve"> 80 (at-the-money at inception)</w:t>
      </w:r>
    </w:p>
    <w:p>
      <w:r>
        <w:t xml:space="preserve">&gt; </w:t>
      </w:r>
      <w:r>
        <w:rPr>
          <w:b/>
        </w:rPr>
        <w:t>Volatility (σ):</w:t>
      </w:r>
      <w:r>
        <w:t xml:space="preserve"> 30% per annum (higher than equity — reflects supply/geopolitical risk)</w:t>
      </w:r>
    </w:p>
    <w:p>
      <w:r>
        <w:t xml:space="preserve">&gt; </w:t>
      </w:r>
      <w:r>
        <w:rPr>
          <w:b/>
        </w:rPr>
        <w:t>Drift (μ):</w:t>
      </w:r>
      <w:r>
        <w:t xml:space="preserve"> 5%</w:t>
      </w:r>
    </w:p>
    <w:p>
      <w:r>
        <w:rPr>
          <w:b/>
        </w:rPr>
        <w:t>What does "exposure" mean for this trade?</w:t>
      </w:r>
    </w:p>
    <w:p>
      <w:r>
        <w:t>If oil rises to $100/barrel (+25%), the forward is worth +$2,000,000 to the bank. If the counterparty (e.g., oil producer hedge counterparty) defaults, the bank loses $2,000,000.</w:t>
      </w:r>
    </w:p>
    <w:p>
      <w:r>
        <w:t>If oil crashes to $60 (−25%), the counterparty would owe the bank nothing — the bank can re-hedge at spot.</w:t>
      </w:r>
    </w:p>
    <w:p>
      <w:pPr>
        <w:pStyle w:val="Heading3"/>
        <w:jc w:val="left"/>
      </w:pPr>
      <w:r>
        <w:t>E.2 GBM for Commodities — Higher Volatility</w:t>
      </w:r>
    </w:p>
    <w:p>
      <w:pPr>
        <w:shd w:fill="F5F5F5"/>
      </w:pPr>
      <w:r>
        <w:rPr>
          <w:rFonts w:ascii="Courier New" w:hAnsi="Courier New"/>
          <w:color w:val="404040"/>
          <w:sz w:val="16"/>
        </w:rPr>
        <w:t>S(t+dt) = S(t) × exp[(μ − σ²/2)×dt + σ×√dt × Z]</w:t>
      </w:r>
    </w:p>
    <w:p>
      <w:pPr>
        <w:shd w:fill="F5F5F5"/>
      </w:pPr>
      <w:r>
        <w:rPr>
          <w:rFonts w:ascii="Courier New" w:hAnsi="Courier New"/>
          <w:color w:val="404040"/>
          <w:sz w:val="16"/>
        </w:rPr>
        <w:t>Parameters:</w:t>
      </w:r>
    </w:p>
    <w:p>
      <w:pPr>
        <w:shd w:fill="F5F5F5"/>
      </w:pPr>
      <w:r>
        <w:rPr>
          <w:rFonts w:ascii="Courier New" w:hAnsi="Courier New"/>
          <w:color w:val="404040"/>
          <w:sz w:val="16"/>
        </w:rPr>
        <w:t xml:space="preserve">  S₀  = 80    (USD/barrel, normalised)</w:t>
      </w:r>
    </w:p>
    <w:p>
      <w:pPr>
        <w:shd w:fill="F5F5F5"/>
      </w:pPr>
      <w:r>
        <w:rPr>
          <w:rFonts w:ascii="Courier New" w:hAnsi="Courier New"/>
          <w:color w:val="404040"/>
          <w:sz w:val="16"/>
        </w:rPr>
        <w:t xml:space="preserve">  σ   = 0.30  (30% annual vol — higher than equity/FX)</w:t>
      </w:r>
    </w:p>
    <w:p>
      <w:pPr>
        <w:shd w:fill="F5F5F5"/>
      </w:pPr>
      <w:r>
        <w:rPr>
          <w:rFonts w:ascii="Courier New" w:hAnsi="Courier New"/>
          <w:color w:val="404040"/>
          <w:sz w:val="16"/>
        </w:rPr>
        <w:t xml:space="preserve">  μ   = 0.05</w:t>
      </w:r>
    </w:p>
    <w:p>
      <w:pPr>
        <w:shd w:fill="F5F5F5"/>
      </w:pPr>
      <w:r>
        <w:rPr>
          <w:rFonts w:ascii="Courier New" w:hAnsi="Courier New"/>
          <w:color w:val="404040"/>
          <w:sz w:val="16"/>
        </w:rPr>
        <w:t xml:space="preserve">  K   = 80    (at-the-money forward strike)</w:t>
      </w:r>
    </w:p>
    <w:p>
      <w:pPr>
        <w:shd w:fill="F5F5F5"/>
      </w:pPr>
      <w:r>
        <w:rPr>
          <w:rFonts w:ascii="Courier New" w:hAnsi="Courier New"/>
          <w:color w:val="404040"/>
          <w:sz w:val="16"/>
        </w:rPr>
        <w:t xml:space="preserve">  dt  = 1/52</w:t>
      </w:r>
    </w:p>
    <w:p>
      <w:pPr>
        <w:shd w:fill="F5F5F5"/>
      </w:pPr>
      <w:r>
        <w:rPr>
          <w:rFonts w:ascii="Courier New" w:hAnsi="Courier New"/>
          <w:color w:val="404040"/>
          <w:sz w:val="16"/>
        </w:rPr>
        <w:t>MtM(t, i) = Notional × (S(t,i) − K) / K</w:t>
      </w:r>
    </w:p>
    <w:p>
      <w:pPr>
        <w:shd w:fill="F5F5F5"/>
      </w:pPr>
      <w:r>
        <w:rPr>
          <w:rFonts w:ascii="Courier New" w:hAnsi="Courier New"/>
          <w:color w:val="404040"/>
          <w:sz w:val="16"/>
        </w:rPr>
        <w:t xml:space="preserve">           = $8,000,000 × (S(t,i) − 80) / 80</w:t>
      </w:r>
    </w:p>
    <w:p>
      <w:pPr>
        <w:pStyle w:val="Heading3"/>
        <w:jc w:val="left"/>
      </w:pPr>
      <w:r>
        <w:t>E.3 Six Oil Price Scenarios (USD/barrel)</w:t>
      </w:r>
    </w:p>
    <w:p>
      <w:pPr>
        <w:shd w:fill="F5F5F5"/>
      </w:pPr>
      <w:r>
        <w:rPr>
          <w:rFonts w:ascii="Courier New" w:hAnsi="Courier New"/>
          <w:color w:val="404040"/>
          <w:sz w:val="16"/>
        </w:rPr>
        <w:t>Scenario | 3m     | 6m     | 9m     | 12m    | Outcome</w:t>
      </w:r>
    </w:p>
    <w:p>
      <w:pPr>
        <w:shd w:fill="F5F5F5"/>
      </w:pPr>
      <w:r>
        <w:rPr>
          <w:rFonts w:ascii="Courier New" w:hAnsi="Courier New"/>
          <w:color w:val="404040"/>
          <w:sz w:val="16"/>
        </w:rPr>
        <w:t>───────────────────────────────────────────────────────────────</w:t>
      </w:r>
    </w:p>
    <w:p>
      <w:pPr>
        <w:shd w:fill="F5F5F5"/>
      </w:pPr>
      <w:r>
        <w:rPr>
          <w:rFonts w:ascii="Courier New" w:hAnsi="Courier New"/>
          <w:color w:val="404040"/>
          <w:sz w:val="16"/>
        </w:rPr>
        <w:t xml:space="preserve">  #1      |  90   |  100   |  112   |  120   | Supply disruption — sustained rally</w:t>
      </w:r>
    </w:p>
    <w:p>
      <w:pPr>
        <w:shd w:fill="F5F5F5"/>
      </w:pPr>
      <w:r>
        <w:rPr>
          <w:rFonts w:ascii="Courier New" w:hAnsi="Courier New"/>
          <w:color w:val="404040"/>
          <w:sz w:val="16"/>
        </w:rPr>
        <w:t xml:space="preserve">  #2      |  85   |   88   |   92   |   89   | Moderate gain</w:t>
      </w:r>
    </w:p>
    <w:p>
      <w:pPr>
        <w:shd w:fill="F5F5F5"/>
      </w:pPr>
      <w:r>
        <w:rPr>
          <w:rFonts w:ascii="Courier New" w:hAnsi="Courier New"/>
          <w:color w:val="404040"/>
          <w:sz w:val="16"/>
        </w:rPr>
        <w:t xml:space="preserve">  #3      |  78   |   82   |   76   |   80   | Flat / range-bound</w:t>
      </w:r>
    </w:p>
    <w:p>
      <w:pPr>
        <w:shd w:fill="F5F5F5"/>
      </w:pPr>
      <w:r>
        <w:rPr>
          <w:rFonts w:ascii="Courier New" w:hAnsi="Courier New"/>
          <w:color w:val="404040"/>
          <w:sz w:val="16"/>
        </w:rPr>
        <w:t xml:space="preserve">  #4      |  72   |   65   |   58   |   55   | Demand shock — bear market</w:t>
      </w:r>
    </w:p>
    <w:p>
      <w:pPr>
        <w:shd w:fill="F5F5F5"/>
      </w:pPr>
      <w:r>
        <w:rPr>
          <w:rFonts w:ascii="Courier New" w:hAnsi="Courier New"/>
          <w:color w:val="404040"/>
          <w:sz w:val="16"/>
        </w:rPr>
        <w:t xml:space="preserve">  #5      | 105   |   78   |   70   |   72   | Geopolitical spike then reversal</w:t>
      </w:r>
    </w:p>
    <w:p>
      <w:pPr>
        <w:shd w:fill="F5F5F5"/>
      </w:pPr>
      <w:r>
        <w:rPr>
          <w:rFonts w:ascii="Courier New" w:hAnsi="Courier New"/>
          <w:color w:val="404040"/>
          <w:sz w:val="16"/>
        </w:rPr>
        <w:t xml:space="preserve">  #6      |  65   |   52   |   45   |   40   | Severe crash (demand collapse)</w:t>
      </w:r>
    </w:p>
    <w:p>
      <w:pPr>
        <w:shd w:fill="F5F5F5"/>
      </w:pPr>
      <w:r>
        <w:rPr>
          <w:rFonts w:ascii="Courier New" w:hAnsi="Courier New"/>
          <w:color w:val="404040"/>
          <w:sz w:val="16"/>
        </w:rPr>
        <w:t>───────────────────────────────────────────────────────────────</w:t>
      </w:r>
    </w:p>
    <w:p>
      <w:r>
        <w:rPr>
          <w:b/>
        </w:rPr>
        <w:t>Visualisation:</w:t>
      </w:r>
    </w:p>
    <w:p>
      <w:pPr>
        <w:shd w:fill="F5F5F5"/>
      </w:pPr>
      <w:r>
        <w:rPr>
          <w:rFonts w:ascii="Courier New" w:hAnsi="Courier New"/>
          <w:color w:val="404040"/>
          <w:sz w:val="16"/>
        </w:rPr>
        <w:t>Oil Price (USD/bbl)</w:t>
      </w:r>
    </w:p>
    <w:p>
      <w:pPr>
        <w:shd w:fill="F5F5F5"/>
      </w:pPr>
      <w:r>
        <w:rPr>
          <w:rFonts w:ascii="Courier New" w:hAnsi="Courier New"/>
          <w:color w:val="404040"/>
          <w:sz w:val="16"/>
        </w:rPr>
        <w:t xml:space="preserve">  120 |                              ● (Sc.1)</w:t>
      </w:r>
    </w:p>
    <w:p>
      <w:pPr>
        <w:shd w:fill="F5F5F5"/>
      </w:pPr>
      <w:r>
        <w:rPr>
          <w:rFonts w:ascii="Courier New" w:hAnsi="Courier New"/>
          <w:color w:val="404040"/>
          <w:sz w:val="16"/>
        </w:rPr>
        <w:t xml:space="preserve">  112 |                   ● (Sc.1)</w:t>
      </w:r>
    </w:p>
    <w:p>
      <w:pPr>
        <w:shd w:fill="F5F5F5"/>
      </w:pPr>
      <w:r>
        <w:rPr>
          <w:rFonts w:ascii="Courier New" w:hAnsi="Courier New"/>
          <w:color w:val="404040"/>
          <w:sz w:val="16"/>
        </w:rPr>
        <w:t xml:space="preserve">  105 |  ● (Sc.5 — geopolitical spike)</w:t>
      </w:r>
    </w:p>
    <w:p>
      <w:pPr>
        <w:shd w:fill="F5F5F5"/>
      </w:pPr>
      <w:r>
        <w:rPr>
          <w:rFonts w:ascii="Courier New" w:hAnsi="Courier New"/>
          <w:color w:val="404040"/>
          <w:sz w:val="16"/>
        </w:rPr>
        <w:t xml:space="preserve">  100 |          ● (Sc.1)</w:t>
      </w:r>
    </w:p>
    <w:p>
      <w:pPr>
        <w:shd w:fill="F5F5F5"/>
      </w:pPr>
      <w:r>
        <w:rPr>
          <w:rFonts w:ascii="Courier New" w:hAnsi="Courier New"/>
          <w:color w:val="404040"/>
          <w:sz w:val="16"/>
        </w:rPr>
        <w:t xml:space="preserve">   92 |                   ● (Sc.2)</w:t>
      </w:r>
    </w:p>
    <w:p>
      <w:pPr>
        <w:shd w:fill="F5F5F5"/>
      </w:pPr>
      <w:r>
        <w:rPr>
          <w:rFonts w:ascii="Courier New" w:hAnsi="Courier New"/>
          <w:color w:val="404040"/>
          <w:sz w:val="16"/>
        </w:rPr>
        <w:t xml:space="preserve">   90 |  ● (Sc.1)</w:t>
      </w:r>
    </w:p>
    <w:p>
      <w:pPr>
        <w:shd w:fill="F5F5F5"/>
      </w:pPr>
      <w:r>
        <w:rPr>
          <w:rFonts w:ascii="Courier New" w:hAnsi="Courier New"/>
          <w:color w:val="404040"/>
          <w:sz w:val="16"/>
        </w:rPr>
        <w:t xml:space="preserve">   89 |                              ● (Sc.2)</w:t>
      </w:r>
    </w:p>
    <w:p>
      <w:pPr>
        <w:shd w:fill="F5F5F5"/>
      </w:pPr>
      <w:r>
        <w:rPr>
          <w:rFonts w:ascii="Courier New" w:hAnsi="Courier New"/>
          <w:color w:val="404040"/>
          <w:sz w:val="16"/>
        </w:rPr>
        <w:t xml:space="preserve">   88 |          ● (Sc.2)</w:t>
      </w:r>
    </w:p>
    <w:p>
      <w:pPr>
        <w:shd w:fill="F5F5F5"/>
      </w:pPr>
      <w:r>
        <w:rPr>
          <w:rFonts w:ascii="Courier New" w:hAnsi="Courier New"/>
          <w:color w:val="404040"/>
          <w:sz w:val="16"/>
        </w:rPr>
        <w:t xml:space="preserve">   85 |  ● (Sc.2)</w:t>
      </w:r>
    </w:p>
    <w:p>
      <w:pPr>
        <w:shd w:fill="F5F5F5"/>
      </w:pPr>
      <w:r>
        <w:rPr>
          <w:rFonts w:ascii="Courier New" w:hAnsi="Courier New"/>
          <w:color w:val="404040"/>
          <w:sz w:val="16"/>
        </w:rPr>
        <w:t xml:space="preserve">   82 |          ● (Sc.3)</w:t>
      </w:r>
    </w:p>
    <w:p>
      <w:pPr>
        <w:shd w:fill="F5F5F5"/>
      </w:pPr>
      <w:r>
        <w:rPr>
          <w:rFonts w:ascii="Courier New" w:hAnsi="Courier New"/>
          <w:color w:val="404040"/>
          <w:sz w:val="16"/>
        </w:rPr>
        <w:t xml:space="preserve">   80 |  K/S₀ ──────────────────────────── ● (Sc.3)</w:t>
      </w:r>
    </w:p>
    <w:p>
      <w:pPr>
        <w:shd w:fill="F5F5F5"/>
      </w:pPr>
      <w:r>
        <w:rPr>
          <w:rFonts w:ascii="Courier New" w:hAnsi="Courier New"/>
          <w:color w:val="404040"/>
          <w:sz w:val="16"/>
        </w:rPr>
        <w:t xml:space="preserve">   78 |  ● (Sc.3)         ● (Sc.5)</w:t>
      </w:r>
    </w:p>
    <w:p>
      <w:pPr>
        <w:shd w:fill="F5F5F5"/>
      </w:pPr>
      <w:r>
        <w:rPr>
          <w:rFonts w:ascii="Courier New" w:hAnsi="Courier New"/>
          <w:color w:val="404040"/>
          <w:sz w:val="16"/>
        </w:rPr>
        <w:t xml:space="preserve">   76 |                   ● (Sc.3)</w:t>
      </w:r>
    </w:p>
    <w:p>
      <w:pPr>
        <w:shd w:fill="F5F5F5"/>
      </w:pPr>
      <w:r>
        <w:rPr>
          <w:rFonts w:ascii="Courier New" w:hAnsi="Courier New"/>
          <w:color w:val="404040"/>
          <w:sz w:val="16"/>
        </w:rPr>
        <w:t xml:space="preserve">   72 |  ● (Sc.4)                          ● (Sc.5)</w:t>
      </w:r>
    </w:p>
    <w:p>
      <w:pPr>
        <w:shd w:fill="F5F5F5"/>
      </w:pPr>
      <w:r>
        <w:rPr>
          <w:rFonts w:ascii="Courier New" w:hAnsi="Courier New"/>
          <w:color w:val="404040"/>
          <w:sz w:val="16"/>
        </w:rPr>
        <w:t xml:space="preserve">   70 |                   ● (Sc.5)</w:t>
      </w:r>
    </w:p>
    <w:p>
      <w:pPr>
        <w:shd w:fill="F5F5F5"/>
      </w:pPr>
      <w:r>
        <w:rPr>
          <w:rFonts w:ascii="Courier New" w:hAnsi="Courier New"/>
          <w:color w:val="404040"/>
          <w:sz w:val="16"/>
        </w:rPr>
        <w:t xml:space="preserve">   65 |  ● (Sc.6)                          ● (Sc.4)</w:t>
      </w:r>
    </w:p>
    <w:p>
      <w:pPr>
        <w:shd w:fill="F5F5F5"/>
      </w:pPr>
      <w:r>
        <w:rPr>
          <w:rFonts w:ascii="Courier New" w:hAnsi="Courier New"/>
          <w:color w:val="404040"/>
          <w:sz w:val="16"/>
        </w:rPr>
        <w:t xml:space="preserve">   58 |                   ● (Sc.4)</w:t>
      </w:r>
    </w:p>
    <w:p>
      <w:pPr>
        <w:shd w:fill="F5F5F5"/>
      </w:pPr>
      <w:r>
        <w:rPr>
          <w:rFonts w:ascii="Courier New" w:hAnsi="Courier New"/>
          <w:color w:val="404040"/>
          <w:sz w:val="16"/>
        </w:rPr>
        <w:t xml:space="preserve">   55 |                              ● (Sc.4)</w:t>
      </w:r>
    </w:p>
    <w:p>
      <w:pPr>
        <w:shd w:fill="F5F5F5"/>
      </w:pPr>
      <w:r>
        <w:rPr>
          <w:rFonts w:ascii="Courier New" w:hAnsi="Courier New"/>
          <w:color w:val="404040"/>
          <w:sz w:val="16"/>
        </w:rPr>
        <w:t xml:space="preserve">   52 |          ● (Sc.6)</w:t>
      </w:r>
    </w:p>
    <w:p>
      <w:pPr>
        <w:shd w:fill="F5F5F5"/>
      </w:pPr>
      <w:r>
        <w:rPr>
          <w:rFonts w:ascii="Courier New" w:hAnsi="Courier New"/>
          <w:color w:val="404040"/>
          <w:sz w:val="16"/>
        </w:rPr>
        <w:t xml:space="preserve">   45 |                   ● (Sc.6)</w:t>
      </w:r>
    </w:p>
    <w:p>
      <w:pPr>
        <w:shd w:fill="F5F5F5"/>
      </w:pPr>
      <w:r>
        <w:rPr>
          <w:rFonts w:ascii="Courier New" w:hAnsi="Courier New"/>
          <w:color w:val="404040"/>
          <w:sz w:val="16"/>
        </w:rPr>
        <w:t xml:space="preserve">   40 |                              ● (Sc.6)</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0      3m      6m      9m      12m</w:t>
      </w:r>
    </w:p>
    <w:p>
      <w:pPr>
        <w:pStyle w:val="Heading3"/>
        <w:jc w:val="left"/>
      </w:pPr>
      <w:r>
        <w:t>E.4 MtM, Exposure, and Metrics</w:t>
      </w:r>
    </w:p>
    <w:p>
      <w:r>
        <w:rPr>
          <w:b/>
        </w:rPr>
        <w:t>MtM Table (USD):</w:t>
      </w:r>
    </w:p>
    <w:p>
      <w:pPr>
        <w:shd w:fill="F5F5F5"/>
      </w:pPr>
      <w:r>
        <w:rPr>
          <w:rFonts w:ascii="Courier New" w:hAnsi="Courier New"/>
          <w:color w:val="404040"/>
          <w:sz w:val="16"/>
        </w:rPr>
        <w:t>Scenario | MtM@3m       | MtM@6m       | MtM@9m       | MtM@12m</w:t>
      </w:r>
    </w:p>
    <w:p>
      <w:pPr>
        <w:shd w:fill="F5F5F5"/>
      </w:pPr>
      <w:r>
        <w:rPr>
          <w:rFonts w:ascii="Courier New" w:hAnsi="Courier New"/>
          <w:color w:val="404040"/>
          <w:sz w:val="16"/>
        </w:rPr>
        <w:t>──────────────────────────────────────────────────────────────────────</w:t>
      </w:r>
    </w:p>
    <w:p>
      <w:pPr>
        <w:shd w:fill="F5F5F5"/>
      </w:pPr>
      <w:r>
        <w:rPr>
          <w:rFonts w:ascii="Courier New" w:hAnsi="Courier New"/>
          <w:color w:val="404040"/>
          <w:sz w:val="16"/>
        </w:rPr>
        <w:t xml:space="preserve">  #1      | +$1,000,000 | +$2,000,000 | +$3,200,000 | +$4,000,000</w:t>
      </w:r>
    </w:p>
    <w:p>
      <w:pPr>
        <w:shd w:fill="F5F5F5"/>
      </w:pPr>
      <w:r>
        <w:rPr>
          <w:rFonts w:ascii="Courier New" w:hAnsi="Courier New"/>
          <w:color w:val="404040"/>
          <w:sz w:val="16"/>
        </w:rPr>
        <w:t xml:space="preserve">  #2      |   +$500,000 |   +$800,000 | +$1,200,000 |   +$900,000</w:t>
      </w:r>
    </w:p>
    <w:p>
      <w:pPr>
        <w:shd w:fill="F5F5F5"/>
      </w:pPr>
      <w:r>
        <w:rPr>
          <w:rFonts w:ascii="Courier New" w:hAnsi="Courier New"/>
          <w:color w:val="404040"/>
          <w:sz w:val="16"/>
        </w:rPr>
        <w:t xml:space="preserve">  #3      |   −$200,000 |   +$200,000 |   −$400,000 |           $0</w:t>
      </w:r>
    </w:p>
    <w:p>
      <w:pPr>
        <w:shd w:fill="F5F5F5"/>
      </w:pPr>
      <w:r>
        <w:rPr>
          <w:rFonts w:ascii="Courier New" w:hAnsi="Courier New"/>
          <w:color w:val="404040"/>
          <w:sz w:val="16"/>
        </w:rPr>
        <w:t xml:space="preserve">  #4      |   −$800,000 | −$1,500,000 | −$2,200,000 | −$2,500,000</w:t>
      </w:r>
    </w:p>
    <w:p>
      <w:pPr>
        <w:shd w:fill="F5F5F5"/>
      </w:pPr>
      <w:r>
        <w:rPr>
          <w:rFonts w:ascii="Courier New" w:hAnsi="Courier New"/>
          <w:color w:val="404040"/>
          <w:sz w:val="16"/>
        </w:rPr>
        <w:t xml:space="preserve">  #5      | +$2,500,000 |   −$200,000 |   −$1,000,000|   −$800,000</w:t>
      </w:r>
    </w:p>
    <w:p>
      <w:pPr>
        <w:shd w:fill="F5F5F5"/>
      </w:pPr>
      <w:r>
        <w:rPr>
          <w:rFonts w:ascii="Courier New" w:hAnsi="Courier New"/>
          <w:color w:val="404040"/>
          <w:sz w:val="16"/>
        </w:rPr>
        <w:t xml:space="preserve">  #6      | −$1,500,000 | −$2,800,000 | −$3,500,000 | −$4,000,000</w:t>
      </w:r>
    </w:p>
    <w:p>
      <w:pPr>
        <w:shd w:fill="F5F5F5"/>
      </w:pPr>
      <w:r>
        <w:rPr>
          <w:rFonts w:ascii="Courier New" w:hAnsi="Courier New"/>
          <w:color w:val="404040"/>
          <w:sz w:val="16"/>
        </w:rPr>
        <w:t>──────────────────────────────────────────────────────────────────────</w:t>
      </w:r>
    </w:p>
    <w:p>
      <w:r>
        <w:rPr>
          <w:b/>
        </w:rPr>
        <w:t>Exposure = max(MtM, 0):</w:t>
      </w:r>
    </w:p>
    <w:p>
      <w:pPr>
        <w:shd w:fill="F5F5F5"/>
      </w:pPr>
      <w:r>
        <w:rPr>
          <w:rFonts w:ascii="Courier New" w:hAnsi="Courier New"/>
          <w:color w:val="404040"/>
          <w:sz w:val="16"/>
        </w:rPr>
        <w:t>EE(3m)  = ($1,000k + $500k + $0 + $0 + $2,500k + $0) / 6  = $666,667</w:t>
      </w:r>
    </w:p>
    <w:p>
      <w:pPr>
        <w:shd w:fill="F5F5F5"/>
      </w:pPr>
      <w:r>
        <w:rPr>
          <w:rFonts w:ascii="Courier New" w:hAnsi="Courier New"/>
          <w:color w:val="404040"/>
          <w:sz w:val="16"/>
        </w:rPr>
        <w:t>EE(6m)  = ($2,000k + $800k + $200k + $0 + $0 + $0) / 6    = $500,000</w:t>
      </w:r>
    </w:p>
    <w:p>
      <w:pPr>
        <w:shd w:fill="F5F5F5"/>
      </w:pPr>
      <w:r>
        <w:rPr>
          <w:rFonts w:ascii="Courier New" w:hAnsi="Courier New"/>
          <w:color w:val="404040"/>
          <w:sz w:val="16"/>
        </w:rPr>
        <w:t>EE(9m)  = ($3,200k + $1,200k + $0 + $0 + $0 + $0) / 6     = $733,333</w:t>
      </w:r>
    </w:p>
    <w:p>
      <w:pPr>
        <w:shd w:fill="F5F5F5"/>
      </w:pPr>
      <w:r>
        <w:rPr>
          <w:rFonts w:ascii="Courier New" w:hAnsi="Courier New"/>
          <w:color w:val="404040"/>
          <w:sz w:val="16"/>
        </w:rPr>
        <w:t>EE(12m) = ($4,000k + $900k + $0 + $0 + $0 + $0) / 6       = $816,667</w:t>
      </w:r>
    </w:p>
    <w:p>
      <w:r>
        <w:rPr>
          <w:b/>
        </w:rPr>
        <w:t>EEE (ratchet):</w:t>
      </w:r>
    </w:p>
    <w:p>
      <w:pPr>
        <w:shd w:fill="F5F5F5"/>
      </w:pPr>
      <w:r>
        <w:rPr>
          <w:rFonts w:ascii="Courier New" w:hAnsi="Courier New"/>
          <w:color w:val="404040"/>
          <w:sz w:val="16"/>
        </w:rPr>
        <w:t>EEE(3m)  = $666,667</w:t>
      </w:r>
    </w:p>
    <w:p>
      <w:pPr>
        <w:shd w:fill="F5F5F5"/>
      </w:pPr>
      <w:r>
        <w:rPr>
          <w:rFonts w:ascii="Courier New" w:hAnsi="Courier New"/>
          <w:color w:val="404040"/>
          <w:sz w:val="16"/>
        </w:rPr>
        <w:t>EEE(6m)  = max($500,000, $666,667) = $666,667   ← ratchet holds (EE fell)</w:t>
      </w:r>
    </w:p>
    <w:p>
      <w:pPr>
        <w:shd w:fill="F5F5F5"/>
      </w:pPr>
      <w:r>
        <w:rPr>
          <w:rFonts w:ascii="Courier New" w:hAnsi="Courier New"/>
          <w:color w:val="404040"/>
          <w:sz w:val="16"/>
        </w:rPr>
        <w:t>EEE(9m)  = max($733,333, $666,667) = $733,333</w:t>
      </w:r>
    </w:p>
    <w:p>
      <w:pPr>
        <w:shd w:fill="F5F5F5"/>
      </w:pPr>
      <w:r>
        <w:rPr>
          <w:rFonts w:ascii="Courier New" w:hAnsi="Courier New"/>
          <w:color w:val="404040"/>
          <w:sz w:val="16"/>
        </w:rPr>
        <w:t>EEE(12m) = max($816,667, $733,333) = $816,667</w:t>
      </w:r>
    </w:p>
    <w:p>
      <w:r>
        <w:rPr>
          <w:b/>
        </w:rPr>
        <w:t>Scalar Metrics:</w:t>
      </w:r>
    </w:p>
    <w:p>
      <w:pPr>
        <w:shd w:fill="F5F5F5"/>
      </w:pPr>
      <w:r>
        <w:rPr>
          <w:rFonts w:ascii="Courier New" w:hAnsi="Courier New"/>
          <w:color w:val="404040"/>
          <w:sz w:val="16"/>
        </w:rPr>
        <w:t>EPE     ≈ ($666.7k + $500k + $733.3k + $816.7k) / 4 ≈ $679,167</w:t>
      </w:r>
    </w:p>
    <w:p>
      <w:pPr>
        <w:shd w:fill="F5F5F5"/>
      </w:pPr>
      <w:r>
        <w:rPr>
          <w:rFonts w:ascii="Courier New" w:hAnsi="Courier New"/>
          <w:color w:val="404040"/>
          <w:sz w:val="16"/>
        </w:rPr>
        <w:t>EEPE    ≈ ($666.7k + $666.7k + $733.3k + $816.7k) / 4 ≈ $720,833</w:t>
      </w:r>
    </w:p>
    <w:p>
      <w:pPr>
        <w:shd w:fill="F5F5F5"/>
      </w:pPr>
      <w:r>
        <w:rPr>
          <w:rFonts w:ascii="Courier New" w:hAnsi="Courier New"/>
          <w:color w:val="404040"/>
          <w:sz w:val="16"/>
        </w:rPr>
        <w:t>EAD_IMM = 1.4 × $720,833 ≈ $1,009,167</w:t>
      </w:r>
    </w:p>
    <w:p>
      <w:pPr>
        <w:shd w:fill="F5F5F5"/>
      </w:pPr>
      <w:r>
        <w:rPr>
          <w:rFonts w:ascii="Courier New" w:hAnsi="Courier New"/>
          <w:color w:val="404040"/>
          <w:sz w:val="16"/>
        </w:rPr>
        <w:t>PFE(3m)  = $2,500,000   (Sc.5 — geopolitical spike)</w:t>
      </w:r>
    </w:p>
    <w:p>
      <w:pPr>
        <w:shd w:fill="F5F5F5"/>
      </w:pPr>
      <w:r>
        <w:rPr>
          <w:rFonts w:ascii="Courier New" w:hAnsi="Courier New"/>
          <w:color w:val="404040"/>
          <w:sz w:val="16"/>
        </w:rPr>
        <w:t>PFE(6m)  = $2,000,000   (Sc.1)</w:t>
      </w:r>
    </w:p>
    <w:p>
      <w:pPr>
        <w:shd w:fill="F5F5F5"/>
      </w:pPr>
      <w:r>
        <w:rPr>
          <w:rFonts w:ascii="Courier New" w:hAnsi="Courier New"/>
          <w:color w:val="404040"/>
          <w:sz w:val="16"/>
        </w:rPr>
        <w:t>PFE(12m) = $4,000,000   (Sc.1 — sustained rally)</w:t>
      </w:r>
    </w:p>
    <w:p>
      <w:pPr>
        <w:pStyle w:val="Heading3"/>
        <w:jc w:val="left"/>
      </w:pPr>
      <w:r>
        <w:t>E.5 Key Insight — Commodity Exposure is Higher and More Volatile</w:t>
      </w:r>
    </w:p>
    <w:p>
      <w:pPr>
        <w:shd w:fill="F5F5F5"/>
      </w:pPr>
      <w:r>
        <w:rPr>
          <w:rFonts w:ascii="Courier New" w:hAnsi="Courier New"/>
          <w:color w:val="404040"/>
          <w:sz w:val="16"/>
        </w:rPr>
        <w:t>Exposure</w:t>
      </w:r>
    </w:p>
    <w:p>
      <w:pPr>
        <w:shd w:fill="F5F5F5"/>
      </w:pPr>
      <w:r>
        <w:rPr>
          <w:rFonts w:ascii="Courier New" w:hAnsi="Courier New"/>
          <w:color w:val="404040"/>
          <w:sz w:val="16"/>
        </w:rPr>
        <w:t xml:space="preserve"> $4.0M |                              ◇ PFE(12m)</w:t>
      </w:r>
    </w:p>
    <w:p>
      <w:pPr>
        <w:shd w:fill="F5F5F5"/>
      </w:pPr>
      <w:r>
        <w:rPr>
          <w:rFonts w:ascii="Courier New" w:hAnsi="Courier New"/>
          <w:color w:val="404040"/>
          <w:sz w:val="16"/>
        </w:rPr>
        <w:t xml:space="preserve"> $2.5M |  ◇ PFE(3m — geopolitical spike)</w:t>
      </w:r>
    </w:p>
    <w:p>
      <w:pPr>
        <w:shd w:fill="F5F5F5"/>
      </w:pPr>
      <w:r>
        <w:rPr>
          <w:rFonts w:ascii="Courier New" w:hAnsi="Courier New"/>
          <w:color w:val="404040"/>
          <w:sz w:val="16"/>
        </w:rPr>
        <w:t xml:space="preserve"> $2.0M |          ◇ PFE(6m)</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$817k |                              ● EEE(12m)</w:t>
      </w:r>
    </w:p>
    <w:p>
      <w:pPr>
        <w:shd w:fill="F5F5F5"/>
      </w:pPr>
      <w:r>
        <w:rPr>
          <w:rFonts w:ascii="Courier New" w:hAnsi="Courier New"/>
          <w:color w:val="404040"/>
          <w:sz w:val="16"/>
        </w:rPr>
        <w:t xml:space="preserve"> $733k |                   ● EEE(9m)</w:t>
      </w:r>
    </w:p>
    <w:p>
      <w:pPr>
        <w:shd w:fill="F5F5F5"/>
      </w:pPr>
      <w:r>
        <w:rPr>
          <w:rFonts w:ascii="Courier New" w:hAnsi="Courier New"/>
          <w:color w:val="404040"/>
          <w:sz w:val="16"/>
        </w:rPr>
        <w:t xml:space="preserve"> $721k |  ══════════════════════════  EEPE ≈ $721k</w:t>
      </w:r>
    </w:p>
    <w:p>
      <w:pPr>
        <w:shd w:fill="F5F5F5"/>
      </w:pPr>
      <w:r>
        <w:rPr>
          <w:rFonts w:ascii="Courier New" w:hAnsi="Courier New"/>
          <w:color w:val="404040"/>
          <w:sz w:val="16"/>
        </w:rPr>
        <w:t xml:space="preserve"> $667k |  ●─────────●  EEE(3m)=EEE(6m)  (ratchet held — EE dipped at 6m)</w:t>
      </w:r>
    </w:p>
    <w:p>
      <w:pPr>
        <w:shd w:fill="F5F5F5"/>
      </w:pPr>
      <w:r>
        <w:rPr>
          <w:rFonts w:ascii="Courier New" w:hAnsi="Courier New"/>
          <w:color w:val="404040"/>
          <w:sz w:val="16"/>
        </w:rPr>
        <w:t xml:space="preserve">       |  ◆         ▼ EE(6m) fell to $500k ← Sc.5 spike reversed</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3m          6m            9m            12m</w:t>
      </w:r>
    </w:p>
    <w:p>
      <w:r>
        <w:rPr>
          <w:b/>
        </w:rPr>
        <w:t>Commodity-specific observations:</w:t>
      </w:r>
    </w:p>
    <w:p>
      <w:pPr>
        <w:pStyle w:val="ListBullet"/>
      </w:pPr>
      <w:r>
        <w:t>**Higher base exposure:** EEPE of $721k on $8M notional (9.0% exposure/notional ratio) vs. ~4.8% for FX — direct consequence of 30% vs 20% volatility</w:t>
      </w:r>
    </w:p>
    <w:p>
      <w:pPr>
        <w:pStyle w:val="ListBullet"/>
      </w:pPr>
      <w:r>
        <w:t>**Spike-and-reversal risk:** Scenario 5 shows a geopolitical spike to $105 creating a massive short-term exposure ($2.5M PFE) that quickly reverses. Without the ratchet, EEE would incorrectly fall. The ratchet preserves this in the capital base.</w:t>
      </w:r>
    </w:p>
    <w:p>
      <w:pPr>
        <w:pStyle w:val="ListBullet"/>
      </w:pPr>
      <w:r>
        <w:t>**Stressed scenario impact:** Doubling vol from 30% to 60% creates near-quadratic increase in EEPE (variance of GBM grows as σ²)</w:t>
      </w:r>
    </w:p>
    <w:p>
      <w:r>
        <w:rPr>
          <w:b/>
        </w:rPr>
        <w:t>Stressed scenario (σ = 60%):</w:t>
      </w:r>
    </w:p>
    <w:p>
      <w:pPr>
        <w:shd w:fill="F5F5F5"/>
      </w:pPr>
      <w:r>
        <w:rPr>
          <w:rFonts w:ascii="Courier New" w:hAnsi="Courier New"/>
          <w:color w:val="404040"/>
          <w:sz w:val="16"/>
        </w:rPr>
        <w:t>Stressed EEPE ≈ $1,380,000</w:t>
      </w:r>
    </w:p>
    <w:p>
      <w:pPr>
        <w:shd w:fill="F5F5F5"/>
      </w:pPr>
      <w:r>
        <w:rPr>
          <w:rFonts w:ascii="Courier New" w:hAnsi="Courier New"/>
          <w:color w:val="404040"/>
          <w:sz w:val="16"/>
        </w:rPr>
        <w:t>Stressed EAD  = 1.4 × $1,380,000 = $1,932,000</w:t>
      </w:r>
    </w:p>
    <w:p>
      <w:pPr>
        <w:shd w:fill="F5F5F5"/>
      </w:pPr>
      <w:r>
        <w:rPr>
          <w:rFonts w:ascii="Courier New" w:hAnsi="Courier New"/>
          <w:color w:val="404040"/>
          <w:sz w:val="16"/>
        </w:rPr>
        <w:t>Capital EAD   = max($1,009,167, $1,932,000) = $1,932,000</w:t>
      </w:r>
    </w:p>
    <w:p>
      <w:pPr>
        <w:pStyle w:val="Heading2"/>
        <w:jc w:val="left"/>
      </w:pPr>
      <w:r>
        <w:t>Appendix F: Monte Carlo Simulation Walk-Through — Credit Derivative Trade</w:t>
      </w:r>
    </w:p>
    <w:p>
      <w:r>
        <w:t xml:space="preserve">&gt; </w:t>
      </w:r>
      <w:r>
        <w:rPr>
          <w:b/>
        </w:rPr>
        <w:t>Purpose:</w:t>
      </w:r>
      <w:r>
        <w:t xml:space="preserve"> Illustrate how a Credit Default Swap (CDS) is simulated. CDS exposure is unique — it is driven by </w:t>
      </w:r>
      <w:r>
        <w:rPr>
          <w:b/>
        </w:rPr>
        <w:t>credit spread movements</w:t>
      </w:r>
      <w:r>
        <w:t>, not price levels, and the MtM formula uses duration rather than simple price ratios. This is the most complex and often most misunderstood asset class in CCR calculations.</w:t>
      </w:r>
    </w:p>
    <w:p>
      <w:pPr>
        <w:pStyle w:val="Heading3"/>
        <w:jc w:val="left"/>
      </w:pPr>
      <w:r>
        <w:t>F.1 The Trade</w:t>
      </w:r>
    </w:p>
    <w:p>
      <w:r>
        <w:t xml:space="preserve">&gt; </w:t>
      </w:r>
      <w:r>
        <w:rPr>
          <w:b/>
        </w:rPr>
        <w:t>Product:</w:t>
      </w:r>
      <w:r>
        <w:t xml:space="preserve"> CDS — Bank bought protection (long protection / short credit risk)</w:t>
      </w:r>
    </w:p>
    <w:p>
      <w:r>
        <w:t xml:space="preserve">&gt; </w:t>
      </w:r>
      <w:r>
        <w:rPr>
          <w:b/>
        </w:rPr>
        <w:t>Reference Entity:</w:t>
      </w:r>
      <w:r>
        <w:t xml:space="preserve"> Single-name corporate credit (e.g., Investment-Grade corporate)</w:t>
      </w:r>
    </w:p>
    <w:p>
      <w:r>
        <w:t xml:space="preserve">&gt; </w:t>
      </w:r>
      <w:r>
        <w:rPr>
          <w:b/>
        </w:rPr>
        <w:t>Notional:</w:t>
      </w:r>
      <w:r>
        <w:t xml:space="preserve"> USD 10,000,000</w:t>
      </w:r>
    </w:p>
    <w:p>
      <w:r>
        <w:t xml:space="preserve">&gt; </w:t>
      </w:r>
      <w:r>
        <w:rPr>
          <w:b/>
        </w:rPr>
        <w:t>Direction:</w:t>
      </w:r>
      <w:r>
        <w:t xml:space="preserve"> +1 (long protection — bank benefits if spreads widen, i.e., credit deteriorates)</w:t>
      </w:r>
    </w:p>
    <w:p>
      <w:r>
        <w:t xml:space="preserve">&gt; </w:t>
      </w:r>
      <w:r>
        <w:rPr>
          <w:b/>
        </w:rPr>
        <w:t>Initial Spread (s₀):</w:t>
      </w:r>
      <w:r>
        <w:t xml:space="preserve"> 100bp (1.00%)</w:t>
      </w:r>
    </w:p>
    <w:p>
      <w:r>
        <w:t xml:space="preserve">&gt; </w:t>
      </w:r>
      <w:r>
        <w:rPr>
          <w:b/>
        </w:rPr>
        <w:t>Duration (D):</w:t>
      </w:r>
      <w:r>
        <w:t xml:space="preserve"> 4.0 years (proxy for present value of protection leg)</w:t>
      </w:r>
    </w:p>
    <w:p>
      <w:r>
        <w:t xml:space="preserve">&gt; </w:t>
      </w:r>
      <w:r>
        <w:rPr>
          <w:b/>
        </w:rPr>
        <w:t>CDS Spread Volatility:</w:t>
      </w:r>
      <w:r>
        <w:t xml:space="preserve"> 50% per annum (high — reflects jump-to-default and rating migration)</w:t>
      </w:r>
    </w:p>
    <w:p>
      <w:r>
        <w:t xml:space="preserve">&gt; </w:t>
      </w:r>
      <w:r>
        <w:rPr>
          <w:b/>
        </w:rPr>
        <w:t>Drift (μ):</w:t>
      </w:r>
      <w:r>
        <w:t xml:space="preserve"> 5%</w:t>
      </w:r>
    </w:p>
    <w:p>
      <w:r>
        <w:rPr>
          <w:b/>
        </w:rPr>
        <w:t>What does "exposure" mean for this trade?</w:t>
      </w:r>
    </w:p>
    <w:p>
      <w:r>
        <w:t>The bank paid a 100bp premium to buy protection. If the reference entity's credit deteriorates and spreads widen to 250bp, the CDS can be sold for a profit — it is worth more than what was paid. The MtM gain is the bank's exposure if the CDS counterparty (protection seller) defaults.</w:t>
      </w:r>
    </w:p>
    <w:p>
      <w:r>
        <w:t>If spreads tighten to 50bp (credit improved), the CDS is worth less. If the counterparty defaults in this scenario, the bank simply loses a slightly more expensive hedge — but no mark-to-market gain is at risk.</w:t>
      </w:r>
    </w:p>
    <w:p>
      <w:r>
        <w:rPr>
          <w:b/>
        </w:rPr>
        <w:t>The double-default risk:</w:t>
      </w:r>
      <w:r>
        <w:t xml:space="preserve"> What makes credit derivatives unique is the potential </w:t>
      </w:r>
      <w:r>
        <w:rPr>
          <w:b/>
        </w:rPr>
        <w:t>wrong-way risk</w:t>
      </w:r>
      <w:r>
        <w:t xml:space="preserve"> — the CDS counterparty (protection seller) may be most likely to default precisely when the reference entity's credit is deteriorating. This is why credit trades have the highest correlation to the market factor in the PROMETHEUS model.</w:t>
      </w:r>
    </w:p>
    <w:p>
      <w:pPr>
        <w:pStyle w:val="Heading3"/>
        <w:jc w:val="left"/>
      </w:pPr>
      <w:r>
        <w:t>F.2 CDS Spread Simulation — GBM on Spreads</w:t>
      </w:r>
    </w:p>
    <w:p>
      <w:pPr>
        <w:shd w:fill="F5F5F5"/>
      </w:pPr>
      <w:r>
        <w:rPr>
          <w:rFonts w:ascii="Courier New" w:hAnsi="Courier New"/>
          <w:color w:val="404040"/>
          <w:sz w:val="16"/>
        </w:rPr>
        <w:t>Spread paths follow GBM (spreads are strictly positive, log-normal is appropriate):</w:t>
      </w:r>
    </w:p>
    <w:p>
      <w:pPr>
        <w:shd w:fill="F5F5F5"/>
      </w:pPr>
      <w:r>
        <w:rPr>
          <w:rFonts w:ascii="Courier New" w:hAnsi="Courier New"/>
          <w:color w:val="404040"/>
          <w:sz w:val="16"/>
        </w:rPr>
        <w:t xml:space="preserve">  s(t+dt) = s(t) × exp[(μ − σ²/2)×dt + σ×√dt × Z]</w:t>
      </w:r>
    </w:p>
    <w:p>
      <w:pPr>
        <w:shd w:fill="F5F5F5"/>
      </w:pPr>
      <w:r>
        <w:rPr>
          <w:rFonts w:ascii="Courier New" w:hAnsi="Courier New"/>
          <w:color w:val="404040"/>
          <w:sz w:val="16"/>
        </w:rPr>
        <w:t>Parameters:</w:t>
      </w:r>
    </w:p>
    <w:p>
      <w:pPr>
        <w:shd w:fill="F5F5F5"/>
      </w:pPr>
      <w:r>
        <w:rPr>
          <w:rFonts w:ascii="Courier New" w:hAnsi="Courier New"/>
          <w:color w:val="404040"/>
          <w:sz w:val="16"/>
        </w:rPr>
        <w:t xml:space="preserve">  s₀  = 0.0100  (100bp initial spread)</w:t>
      </w:r>
    </w:p>
    <w:p>
      <w:pPr>
        <w:shd w:fill="F5F5F5"/>
      </w:pPr>
      <w:r>
        <w:rPr>
          <w:rFonts w:ascii="Courier New" w:hAnsi="Courier New"/>
          <w:color w:val="404040"/>
          <w:sz w:val="16"/>
        </w:rPr>
        <w:t xml:space="preserve">  σ   = 0.50    (50% annual spread vol — high, reflecting jump risk)</w:t>
      </w:r>
    </w:p>
    <w:p>
      <w:pPr>
        <w:shd w:fill="F5F5F5"/>
      </w:pPr>
      <w:r>
        <w:rPr>
          <w:rFonts w:ascii="Courier New" w:hAnsi="Courier New"/>
          <w:color w:val="404040"/>
          <w:sz w:val="16"/>
        </w:rPr>
        <w:t xml:space="preserve">  μ   = 0.05    (drift)</w:t>
      </w:r>
    </w:p>
    <w:p>
      <w:pPr>
        <w:shd w:fill="F5F5F5"/>
      </w:pPr>
      <w:r>
        <w:rPr>
          <w:rFonts w:ascii="Courier New" w:hAnsi="Courier New"/>
          <w:color w:val="404040"/>
          <w:sz w:val="16"/>
        </w:rPr>
        <w:t xml:space="preserve">  D   = 4.0     (CDS duration in years)</w:t>
      </w:r>
    </w:p>
    <w:p>
      <w:pPr>
        <w:shd w:fill="F5F5F5"/>
      </w:pPr>
      <w:r>
        <w:rPr>
          <w:rFonts w:ascii="Courier New" w:hAnsi="Courier New"/>
          <w:color w:val="404040"/>
          <w:sz w:val="16"/>
        </w:rPr>
        <w:t xml:space="preserve">  dt  = 1/52</w:t>
      </w:r>
    </w:p>
    <w:p>
      <w:pPr>
        <w:shd w:fill="F5F5F5"/>
      </w:pPr>
      <w:r>
        <w:rPr>
          <w:rFonts w:ascii="Courier New" w:hAnsi="Courier New"/>
          <w:color w:val="404040"/>
          <w:sz w:val="16"/>
        </w:rPr>
        <w:t>MtM(t, i) = Notional × direction × D × (s(t,i) − s₀)</w:t>
      </w:r>
    </w:p>
    <w:p>
      <w:pPr>
        <w:shd w:fill="F5F5F5"/>
      </w:pPr>
      <w:r>
        <w:rPr>
          <w:rFonts w:ascii="Courier New" w:hAnsi="Courier New"/>
          <w:color w:val="404040"/>
          <w:sz w:val="16"/>
        </w:rPr>
        <w:t xml:space="preserve">           = $10,000,000 × (+1) × 4.0 × (s(t,i) − 0.0100)</w:t>
      </w:r>
    </w:p>
    <w:p>
      <w:pPr>
        <w:shd w:fill="F5F5F5"/>
      </w:pPr>
      <w:r>
        <w:rPr>
          <w:rFonts w:ascii="Courier New" w:hAnsi="Courier New"/>
          <w:color w:val="404040"/>
          <w:sz w:val="16"/>
        </w:rPr>
        <w:t>Note: MtM is positive (gain) when spreads WIDEN (credit deteriorates)</w:t>
      </w:r>
    </w:p>
    <w:p>
      <w:pPr>
        <w:shd w:fill="F5F5F5"/>
      </w:pPr>
      <w:r>
        <w:rPr>
          <w:rFonts w:ascii="Courier New" w:hAnsi="Courier New"/>
          <w:color w:val="404040"/>
          <w:sz w:val="16"/>
        </w:rPr>
        <w:t xml:space="preserve">      MtM is negative (loss) when spreads TIGHTEN (credit improves)</w:t>
      </w:r>
    </w:p>
    <w:p>
      <w:pPr>
        <w:pStyle w:val="Heading3"/>
        <w:jc w:val="left"/>
      </w:pPr>
      <w:r>
        <w:t>F.3 Six CDS Spread Scenarios (basis points)</w:t>
      </w:r>
    </w:p>
    <w:p>
      <w:pPr>
        <w:shd w:fill="F5F5F5"/>
      </w:pPr>
      <w:r>
        <w:rPr>
          <w:rFonts w:ascii="Courier New" w:hAnsi="Courier New"/>
          <w:color w:val="404040"/>
          <w:sz w:val="16"/>
        </w:rPr>
        <w:t>Scenario | 3m (bp) | 6m (bp) | 9m (bp) | 12m (bp) | Outcome</w:t>
      </w:r>
    </w:p>
    <w:p>
      <w:pPr>
        <w:shd w:fill="F5F5F5"/>
      </w:pPr>
      <w:r>
        <w:rPr>
          <w:rFonts w:ascii="Courier New" w:hAnsi="Courier New"/>
          <w:color w:val="404040"/>
          <w:sz w:val="16"/>
        </w:rPr>
        <w:t>────────────────────────────────────────────────────────────────────</w:t>
      </w:r>
    </w:p>
    <w:p>
      <w:pPr>
        <w:shd w:fill="F5F5F5"/>
      </w:pPr>
      <w:r>
        <w:rPr>
          <w:rFonts w:ascii="Courier New" w:hAnsi="Courier New"/>
          <w:color w:val="404040"/>
          <w:sz w:val="16"/>
        </w:rPr>
        <w:t xml:space="preserve">  #1      |  145    |  185    |  240    |  300     | Credit deterioration (fallen angel)</w:t>
      </w:r>
    </w:p>
    <w:p>
      <w:pPr>
        <w:shd w:fill="F5F5F5"/>
      </w:pPr>
      <w:r>
        <w:rPr>
          <w:rFonts w:ascii="Courier New" w:hAnsi="Courier New"/>
          <w:color w:val="404040"/>
          <w:sz w:val="16"/>
        </w:rPr>
        <w:t xml:space="preserve">  #2      |  115    |  125    |  135    |  128     | Moderate widening</w:t>
      </w:r>
    </w:p>
    <w:p>
      <w:pPr>
        <w:shd w:fill="F5F5F5"/>
      </w:pPr>
      <w:r>
        <w:rPr>
          <w:rFonts w:ascii="Courier New" w:hAnsi="Courier New"/>
          <w:color w:val="404040"/>
          <w:sz w:val="16"/>
        </w:rPr>
        <w:t xml:space="preserve">  #3      |   95    |  105    |   90    |  100     | Flat / oscillating</w:t>
      </w:r>
    </w:p>
    <w:p>
      <w:pPr>
        <w:shd w:fill="F5F5F5"/>
      </w:pPr>
      <w:r>
        <w:rPr>
          <w:rFonts w:ascii="Courier New" w:hAnsi="Courier New"/>
          <w:color w:val="404040"/>
          <w:sz w:val="16"/>
        </w:rPr>
        <w:t xml:space="preserve">  #4      |   80    |   65    |   55    |   50     | Strong credit improvement</w:t>
      </w:r>
    </w:p>
    <w:p>
      <w:pPr>
        <w:shd w:fill="F5F5F5"/>
      </w:pPr>
      <w:r>
        <w:rPr>
          <w:rFonts w:ascii="Courier New" w:hAnsi="Courier New"/>
          <w:color w:val="404040"/>
          <w:sz w:val="16"/>
        </w:rPr>
        <w:t xml:space="preserve">  #5      |  200    |  110    |   85    |   95     | Idiosyncratic spike then recovery</w:t>
      </w:r>
    </w:p>
    <w:p>
      <w:pPr>
        <w:shd w:fill="F5F5F5"/>
      </w:pPr>
      <w:r>
        <w:rPr>
          <w:rFonts w:ascii="Courier New" w:hAnsi="Courier New"/>
          <w:color w:val="404040"/>
          <w:sz w:val="16"/>
        </w:rPr>
        <w:t xml:space="preserve">  #6      |   60    |   42    |   35    |   28     | Dramatic tightening (re-rating event)</w:t>
      </w:r>
    </w:p>
    <w:p>
      <w:pPr>
        <w:shd w:fill="F5F5F5"/>
      </w:pPr>
      <w:r>
        <w:rPr>
          <w:rFonts w:ascii="Courier New" w:hAnsi="Courier New"/>
          <w:color w:val="404040"/>
          <w:sz w:val="16"/>
        </w:rPr>
        <w:t>────────────────────────────────────────────────────────────────────</w:t>
      </w:r>
    </w:p>
    <w:p>
      <w:r>
        <w:rPr>
          <w:b/>
        </w:rPr>
        <w:t>Visualisation of spread paths:</w:t>
      </w:r>
    </w:p>
    <w:p>
      <w:pPr>
        <w:shd w:fill="F5F5F5"/>
      </w:pPr>
      <w:r>
        <w:rPr>
          <w:rFonts w:ascii="Courier New" w:hAnsi="Courier New"/>
          <w:color w:val="404040"/>
          <w:sz w:val="16"/>
        </w:rPr>
        <w:t>CDS Spread (bp)</w:t>
      </w:r>
    </w:p>
    <w:p>
      <w:pPr>
        <w:shd w:fill="F5F5F5"/>
      </w:pPr>
      <w:r>
        <w:rPr>
          <w:rFonts w:ascii="Courier New" w:hAnsi="Courier New"/>
          <w:color w:val="404040"/>
          <w:sz w:val="16"/>
        </w:rPr>
        <w:t xml:space="preserve">  300 |                              ● (Sc.1 — fallen angel)</w:t>
      </w:r>
    </w:p>
    <w:p>
      <w:pPr>
        <w:shd w:fill="F5F5F5"/>
      </w:pPr>
      <w:r>
        <w:rPr>
          <w:rFonts w:ascii="Courier New" w:hAnsi="Courier New"/>
          <w:color w:val="404040"/>
          <w:sz w:val="16"/>
        </w:rPr>
        <w:t xml:space="preserve">  240 |                   ● (Sc.1)</w:t>
      </w:r>
    </w:p>
    <w:p>
      <w:pPr>
        <w:shd w:fill="F5F5F5"/>
      </w:pPr>
      <w:r>
        <w:rPr>
          <w:rFonts w:ascii="Courier New" w:hAnsi="Courier New"/>
          <w:color w:val="404040"/>
          <w:sz w:val="16"/>
        </w:rPr>
        <w:t xml:space="preserve">  200 |  ● (Sc.5 — idiosyncratic spike)</w:t>
      </w:r>
    </w:p>
    <w:p>
      <w:pPr>
        <w:shd w:fill="F5F5F5"/>
      </w:pPr>
      <w:r>
        <w:rPr>
          <w:rFonts w:ascii="Courier New" w:hAnsi="Courier New"/>
          <w:color w:val="404040"/>
          <w:sz w:val="16"/>
        </w:rPr>
        <w:t xml:space="preserve">  185 |          ● (Sc.1)</w:t>
      </w:r>
    </w:p>
    <w:p>
      <w:pPr>
        <w:shd w:fill="F5F5F5"/>
      </w:pPr>
      <w:r>
        <w:rPr>
          <w:rFonts w:ascii="Courier New" w:hAnsi="Courier New"/>
          <w:color w:val="404040"/>
          <w:sz w:val="16"/>
        </w:rPr>
        <w:t xml:space="preserve">  145 |  ● (Sc.1)</w:t>
      </w:r>
    </w:p>
    <w:p>
      <w:pPr>
        <w:shd w:fill="F5F5F5"/>
      </w:pPr>
      <w:r>
        <w:rPr>
          <w:rFonts w:ascii="Courier New" w:hAnsi="Courier New"/>
          <w:color w:val="404040"/>
          <w:sz w:val="16"/>
        </w:rPr>
        <w:t xml:space="preserve">  135 |                   ● (Sc.2)</w:t>
      </w:r>
    </w:p>
    <w:p>
      <w:pPr>
        <w:shd w:fill="F5F5F5"/>
      </w:pPr>
      <w:r>
        <w:rPr>
          <w:rFonts w:ascii="Courier New" w:hAnsi="Courier New"/>
          <w:color w:val="404040"/>
          <w:sz w:val="16"/>
        </w:rPr>
        <w:t xml:space="preserve">  128 |                              ● (Sc.2)</w:t>
      </w:r>
    </w:p>
    <w:p>
      <w:pPr>
        <w:shd w:fill="F5F5F5"/>
      </w:pPr>
      <w:r>
        <w:rPr>
          <w:rFonts w:ascii="Courier New" w:hAnsi="Courier New"/>
          <w:color w:val="404040"/>
          <w:sz w:val="16"/>
        </w:rPr>
        <w:t xml:space="preserve">  125 |          ● (Sc.2)</w:t>
      </w:r>
    </w:p>
    <w:p>
      <w:pPr>
        <w:shd w:fill="F5F5F5"/>
      </w:pPr>
      <w:r>
        <w:rPr>
          <w:rFonts w:ascii="Courier New" w:hAnsi="Courier New"/>
          <w:color w:val="404040"/>
          <w:sz w:val="16"/>
        </w:rPr>
        <w:t xml:space="preserve">  115 |  ● (Sc.2)</w:t>
      </w:r>
    </w:p>
    <w:p>
      <w:pPr>
        <w:shd w:fill="F5F5F5"/>
      </w:pPr>
      <w:r>
        <w:rPr>
          <w:rFonts w:ascii="Courier New" w:hAnsi="Courier New"/>
          <w:color w:val="404040"/>
          <w:sz w:val="16"/>
        </w:rPr>
        <w:t xml:space="preserve">  110 |          ● (Sc.5)</w:t>
      </w:r>
    </w:p>
    <w:p>
      <w:pPr>
        <w:shd w:fill="F5F5F5"/>
      </w:pPr>
      <w:r>
        <w:rPr>
          <w:rFonts w:ascii="Courier New" w:hAnsi="Courier New"/>
          <w:color w:val="404040"/>
          <w:sz w:val="16"/>
        </w:rPr>
        <w:t xml:space="preserve">  105 |          ● (Sc.3)</w:t>
      </w:r>
    </w:p>
    <w:p>
      <w:pPr>
        <w:shd w:fill="F5F5F5"/>
      </w:pPr>
      <w:r>
        <w:rPr>
          <w:rFonts w:ascii="Courier New" w:hAnsi="Courier New"/>
          <w:color w:val="404040"/>
          <w:sz w:val="16"/>
        </w:rPr>
        <w:t xml:space="preserve">  100 |  s₀ ────────────────────────────── ● (Sc.3)</w:t>
      </w:r>
    </w:p>
    <w:p>
      <w:pPr>
        <w:shd w:fill="F5F5F5"/>
      </w:pPr>
      <w:r>
        <w:rPr>
          <w:rFonts w:ascii="Courier New" w:hAnsi="Courier New"/>
          <w:color w:val="404040"/>
          <w:sz w:val="16"/>
        </w:rPr>
        <w:t xml:space="preserve">   95 |  ● (Sc.3)          ● (Sc.5)</w:t>
      </w:r>
    </w:p>
    <w:p>
      <w:pPr>
        <w:shd w:fill="F5F5F5"/>
      </w:pPr>
      <w:r>
        <w:rPr>
          <w:rFonts w:ascii="Courier New" w:hAnsi="Courier New"/>
          <w:color w:val="404040"/>
          <w:sz w:val="16"/>
        </w:rPr>
        <w:t xml:space="preserve">   90 |                   ● (Sc.3)</w:t>
      </w:r>
    </w:p>
    <w:p>
      <w:pPr>
        <w:shd w:fill="F5F5F5"/>
      </w:pPr>
      <w:r>
        <w:rPr>
          <w:rFonts w:ascii="Courier New" w:hAnsi="Courier New"/>
          <w:color w:val="404040"/>
          <w:sz w:val="16"/>
        </w:rPr>
        <w:t xml:space="preserve">   85 |                   ● (Sc.5)</w:t>
      </w:r>
    </w:p>
    <w:p>
      <w:pPr>
        <w:shd w:fill="F5F5F5"/>
      </w:pPr>
      <w:r>
        <w:rPr>
          <w:rFonts w:ascii="Courier New" w:hAnsi="Courier New"/>
          <w:color w:val="404040"/>
          <w:sz w:val="16"/>
        </w:rPr>
        <w:t xml:space="preserve">   80 |  ● (Sc.4)                          ● (Sc.5)</w:t>
      </w:r>
    </w:p>
    <w:p>
      <w:pPr>
        <w:shd w:fill="F5F5F5"/>
      </w:pPr>
      <w:r>
        <w:rPr>
          <w:rFonts w:ascii="Courier New" w:hAnsi="Courier New"/>
          <w:color w:val="404040"/>
          <w:sz w:val="16"/>
        </w:rPr>
        <w:t xml:space="preserve">   65 |          ● (Sc.4)</w:t>
      </w:r>
    </w:p>
    <w:p>
      <w:pPr>
        <w:shd w:fill="F5F5F5"/>
      </w:pPr>
      <w:r>
        <w:rPr>
          <w:rFonts w:ascii="Courier New" w:hAnsi="Courier New"/>
          <w:color w:val="404040"/>
          <w:sz w:val="16"/>
        </w:rPr>
        <w:t xml:space="preserve">   60 |  ● (Sc.6)</w:t>
      </w:r>
    </w:p>
    <w:p>
      <w:pPr>
        <w:shd w:fill="F5F5F5"/>
      </w:pPr>
      <w:r>
        <w:rPr>
          <w:rFonts w:ascii="Courier New" w:hAnsi="Courier New"/>
          <w:color w:val="404040"/>
          <w:sz w:val="16"/>
        </w:rPr>
        <w:t xml:space="preserve">   55 |                   ● (Sc.4)</w:t>
      </w:r>
    </w:p>
    <w:p>
      <w:pPr>
        <w:shd w:fill="F5F5F5"/>
      </w:pPr>
      <w:r>
        <w:rPr>
          <w:rFonts w:ascii="Courier New" w:hAnsi="Courier New"/>
          <w:color w:val="404040"/>
          <w:sz w:val="16"/>
        </w:rPr>
        <w:t xml:space="preserve">   50 |                              ● (Sc.4)</w:t>
      </w:r>
    </w:p>
    <w:p>
      <w:pPr>
        <w:shd w:fill="F5F5F5"/>
      </w:pPr>
      <w:r>
        <w:rPr>
          <w:rFonts w:ascii="Courier New" w:hAnsi="Courier New"/>
          <w:color w:val="404040"/>
          <w:sz w:val="16"/>
        </w:rPr>
        <w:t xml:space="preserve">   42 |          ● (Sc.6)</w:t>
      </w:r>
    </w:p>
    <w:p>
      <w:pPr>
        <w:shd w:fill="F5F5F5"/>
      </w:pPr>
      <w:r>
        <w:rPr>
          <w:rFonts w:ascii="Courier New" w:hAnsi="Courier New"/>
          <w:color w:val="404040"/>
          <w:sz w:val="16"/>
        </w:rPr>
        <w:t xml:space="preserve">   35 |                   ● (Sc.6)</w:t>
      </w:r>
    </w:p>
    <w:p>
      <w:pPr>
        <w:shd w:fill="F5F5F5"/>
      </w:pPr>
      <w:r>
        <w:rPr>
          <w:rFonts w:ascii="Courier New" w:hAnsi="Courier New"/>
          <w:color w:val="404040"/>
          <w:sz w:val="16"/>
        </w:rPr>
        <w:t xml:space="preserve">   28 |                              ● (Sc.6)</w:t>
      </w:r>
    </w:p>
    <w:p>
      <w:pPr>
        <w:shd w:fill="F5F5F5"/>
      </w:pPr>
      <w:r>
        <w:rPr>
          <w:rFonts w:ascii="Courier New" w:hAnsi="Courier New"/>
          <w:color w:val="404040"/>
          <w:sz w:val="16"/>
        </w:rPr>
        <w:t xml:space="preserve">      └──────────────────────────────────────────── ► Time</w:t>
      </w:r>
    </w:p>
    <w:p>
      <w:pPr>
        <w:shd w:fill="F5F5F5"/>
      </w:pPr>
      <w:r>
        <w:rPr>
          <w:rFonts w:ascii="Courier New" w:hAnsi="Courier New"/>
          <w:color w:val="404040"/>
          <w:sz w:val="16"/>
        </w:rPr>
        <w:t xml:space="preserve">         0      3m      6m       9m      12m</w:t>
      </w:r>
    </w:p>
    <w:p>
      <w:pPr>
        <w:shd w:fill="F5F5F5"/>
      </w:pPr>
      <w:r>
        <w:rPr>
          <w:rFonts w:ascii="Courier New" w:hAnsi="Courier New"/>
          <w:color w:val="404040"/>
          <w:sz w:val="16"/>
        </w:rPr>
        <w:t xml:space="preserve">  Scenarios above 100bp = positive MtM (bank's long protection position gains)</w:t>
      </w:r>
    </w:p>
    <w:p>
      <w:pPr>
        <w:shd w:fill="F5F5F5"/>
      </w:pPr>
      <w:r>
        <w:rPr>
          <w:rFonts w:ascii="Courier New" w:hAnsi="Courier New"/>
          <w:color w:val="404040"/>
          <w:sz w:val="16"/>
        </w:rPr>
        <w:t xml:space="preserve">  Scenarios below 100bp = negative MtM (protection cheapened — bank would not lose if c/p defaults)</w:t>
      </w:r>
    </w:p>
    <w:p>
      <w:pPr>
        <w:pStyle w:val="Heading3"/>
        <w:jc w:val="left"/>
      </w:pPr>
      <w:r>
        <w:t>F.4 MtM, Exposure and Metrics</w:t>
      </w:r>
    </w:p>
    <w:p>
      <w:r>
        <w:rPr>
          <w:b/>
        </w:rPr>
        <w:t>MtM Formula:</w:t>
      </w:r>
    </w:p>
    <w:p>
      <w:pPr>
        <w:shd w:fill="F5F5F5"/>
      </w:pPr>
      <w:r>
        <w:rPr>
          <w:rFonts w:ascii="Courier New" w:hAnsi="Courier New"/>
          <w:color w:val="404040"/>
          <w:sz w:val="16"/>
        </w:rPr>
        <w:t>MtM(t,i) = $10,000,000 × 4.0 × (s(t,i) − 0.0100)</w:t>
      </w:r>
    </w:p>
    <w:p>
      <w:r>
        <w:rPr>
          <w:b/>
        </w:rPr>
        <w:t>MtM Table (USD):</w:t>
      </w:r>
    </w:p>
    <w:p>
      <w:pPr>
        <w:shd w:fill="F5F5F5"/>
      </w:pPr>
      <w:r>
        <w:rPr>
          <w:rFonts w:ascii="Courier New" w:hAnsi="Courier New"/>
          <w:color w:val="404040"/>
          <w:sz w:val="16"/>
        </w:rPr>
        <w:t>Scenario | Δs@3m    | MtM@3m      | Δs@6m    | MtM@6m      | Δs@12m   | MtM@12m</w:t>
      </w:r>
    </w:p>
    <w:p>
      <w:pPr>
        <w:shd w:fill="F5F5F5"/>
      </w:pPr>
      <w:r>
        <w:rPr>
          <w:rFonts w:ascii="Courier New" w:hAnsi="Courier New"/>
          <w:color w:val="404040"/>
          <w:sz w:val="16"/>
        </w:rPr>
        <w:t>────────────────────────────────────────────────────────────────────────────────────</w:t>
      </w:r>
    </w:p>
    <w:p>
      <w:pPr>
        <w:shd w:fill="F5F5F5"/>
      </w:pPr>
      <w:r>
        <w:rPr>
          <w:rFonts w:ascii="Courier New" w:hAnsi="Courier New"/>
          <w:color w:val="404040"/>
          <w:sz w:val="16"/>
        </w:rPr>
        <w:t xml:space="preserve">  #1      | +45bp   | +$1,800,000 | +85bp   | +$3,400,000  | +200bp  | +$8,000,000</w:t>
      </w:r>
    </w:p>
    <w:p>
      <w:pPr>
        <w:shd w:fill="F5F5F5"/>
      </w:pPr>
      <w:r>
        <w:rPr>
          <w:rFonts w:ascii="Courier New" w:hAnsi="Courier New"/>
          <w:color w:val="404040"/>
          <w:sz w:val="16"/>
        </w:rPr>
        <w:t xml:space="preserve">  #2      | +15bp   |   +$600,000 | +25bp   | +$1,000,000  |  +28bp  | +$1,120,000</w:t>
      </w:r>
    </w:p>
    <w:p>
      <w:pPr>
        <w:shd w:fill="F5F5F5"/>
      </w:pPr>
      <w:r>
        <w:rPr>
          <w:rFonts w:ascii="Courier New" w:hAnsi="Courier New"/>
          <w:color w:val="404040"/>
          <w:sz w:val="16"/>
        </w:rPr>
        <w:t xml:space="preserve">  #3      |  −5bp   |   −$200,000 |  +5bp   |   +$200,000  |    0bp  |           $0</w:t>
      </w:r>
    </w:p>
    <w:p>
      <w:pPr>
        <w:shd w:fill="F5F5F5"/>
      </w:pPr>
      <w:r>
        <w:rPr>
          <w:rFonts w:ascii="Courier New" w:hAnsi="Courier New"/>
          <w:color w:val="404040"/>
          <w:sz w:val="16"/>
        </w:rPr>
        <w:t xml:space="preserve">  #4      | −20bp   |   −$800,000 | −35bp   | −$1,400,000  |  −50bp  | −$2,000,000</w:t>
      </w:r>
    </w:p>
    <w:p>
      <w:pPr>
        <w:shd w:fill="F5F5F5"/>
      </w:pPr>
      <w:r>
        <w:rPr>
          <w:rFonts w:ascii="Courier New" w:hAnsi="Courier New"/>
          <w:color w:val="404040"/>
          <w:sz w:val="16"/>
        </w:rPr>
        <w:t xml:space="preserve">  #5      | +100bp  | +$4,000,000 | +10bp   |   +$400,000  |   −5bp  |   −$200,000</w:t>
      </w:r>
    </w:p>
    <w:p>
      <w:pPr>
        <w:shd w:fill="F5F5F5"/>
      </w:pPr>
      <w:r>
        <w:rPr>
          <w:rFonts w:ascii="Courier New" w:hAnsi="Courier New"/>
          <w:color w:val="404040"/>
          <w:sz w:val="16"/>
        </w:rPr>
        <w:t xml:space="preserve">  #6      | −40bp   | −$1,600,000 | −58bp   | −$2,320,000  |  −72bp  | −$2,880,000</w:t>
      </w:r>
    </w:p>
    <w:p>
      <w:pPr>
        <w:shd w:fill="F5F5F5"/>
      </w:pPr>
      <w:r>
        <w:rPr>
          <w:rFonts w:ascii="Courier New" w:hAnsi="Courier New"/>
          <w:color w:val="404040"/>
          <w:sz w:val="16"/>
        </w:rPr>
        <w:t>────────────────────────────────────────────────────────────────────────────────────</w:t>
      </w:r>
    </w:p>
    <w:p>
      <w:r>
        <w:rPr>
          <w:b/>
        </w:rPr>
        <w:t>Exposure = max(MtM, 0):</w:t>
      </w:r>
    </w:p>
    <w:p>
      <w:pPr>
        <w:shd w:fill="F5F5F5"/>
      </w:pPr>
      <w:r>
        <w:rPr>
          <w:rFonts w:ascii="Courier New" w:hAnsi="Courier New"/>
          <w:color w:val="404040"/>
          <w:sz w:val="16"/>
        </w:rPr>
        <w:t>EE(3m)  = ($1,800k + $600k + $0 + $0 + $4,000k + $0) / 6  = $1,066,667</w:t>
      </w:r>
    </w:p>
    <w:p>
      <w:pPr>
        <w:shd w:fill="F5F5F5"/>
      </w:pPr>
      <w:r>
        <w:rPr>
          <w:rFonts w:ascii="Courier New" w:hAnsi="Courier New"/>
          <w:color w:val="404040"/>
          <w:sz w:val="16"/>
        </w:rPr>
        <w:t>EE(6m)  = ($3,400k + $1,000k + $200k + $0 + $400k + $0) / 6 = $833,333</w:t>
      </w:r>
    </w:p>
    <w:p>
      <w:pPr>
        <w:shd w:fill="F5F5F5"/>
      </w:pPr>
      <w:r>
        <w:rPr>
          <w:rFonts w:ascii="Courier New" w:hAnsi="Courier New"/>
          <w:color w:val="404040"/>
          <w:sz w:val="16"/>
        </w:rPr>
        <w:t>EE(9m)  = ($5,600k + $1,400k + $0 + $0 + $0 + $0) / 6     = $1,166,667</w:t>
      </w:r>
    </w:p>
    <w:p>
      <w:pPr>
        <w:shd w:fill="F5F5F5"/>
      </w:pPr>
      <w:r>
        <w:rPr>
          <w:rFonts w:ascii="Courier New" w:hAnsi="Courier New"/>
          <w:color w:val="404040"/>
          <w:sz w:val="16"/>
        </w:rPr>
        <w:t>EE(12m) = ($8,000k + $1,120k + $0 + $0 + $0 + $0) / 6     = $1,520,000</w:t>
      </w:r>
    </w:p>
    <w:p>
      <w:r>
        <w:rPr>
          <w:b/>
        </w:rPr>
        <w:t>EEE (ratchet):</w:t>
      </w:r>
    </w:p>
    <w:p>
      <w:pPr>
        <w:shd w:fill="F5F5F5"/>
      </w:pPr>
      <w:r>
        <w:rPr>
          <w:rFonts w:ascii="Courier New" w:hAnsi="Courier New"/>
          <w:color w:val="404040"/>
          <w:sz w:val="16"/>
        </w:rPr>
        <w:t>EEE(3m)  = $1,066,667</w:t>
      </w:r>
    </w:p>
    <w:p>
      <w:pPr>
        <w:shd w:fill="F5F5F5"/>
      </w:pPr>
      <w:r>
        <w:rPr>
          <w:rFonts w:ascii="Courier New" w:hAnsi="Courier New"/>
          <w:color w:val="404040"/>
          <w:sz w:val="16"/>
        </w:rPr>
        <w:t>EEE(6m)  = max($833,333, $1,066,667) = $1,066,667   ← ratchet holds (EE fell!)</w:t>
      </w:r>
    </w:p>
    <w:p>
      <w:pPr>
        <w:shd w:fill="F5F5F5"/>
      </w:pPr>
      <w:r>
        <w:rPr>
          <w:rFonts w:ascii="Courier New" w:hAnsi="Courier New"/>
          <w:color w:val="404040"/>
          <w:sz w:val="16"/>
        </w:rPr>
        <w:t>EEE(9m)  = max($1,166,667, $1,066,667) = $1,166,667</w:t>
      </w:r>
    </w:p>
    <w:p>
      <w:pPr>
        <w:shd w:fill="F5F5F5"/>
      </w:pPr>
      <w:r>
        <w:rPr>
          <w:rFonts w:ascii="Courier New" w:hAnsi="Courier New"/>
          <w:color w:val="404040"/>
          <w:sz w:val="16"/>
        </w:rPr>
        <w:t>EEE(12m) = max($1,520,000, $1,166,667) = $1,520,000</w:t>
      </w:r>
    </w:p>
    <w:p>
      <w:r>
        <w:t xml:space="preserve">&gt; </w:t>
      </w:r>
      <w:r>
        <w:rPr>
          <w:b/>
        </w:rPr>
        <w:t>Ratchet is critical here:</w:t>
      </w:r>
      <w:r>
        <w:t xml:space="preserve"> EE fell at 6m because Scenario 5's spike (200bp) had already partially reversed. The EEE non-decreasing constraint ensures the capital base does not decrease when an idiosyncratic spike starts unwinding — exactly the credit deterioration scenario regulators are most concerned about.</w:t>
      </w:r>
    </w:p>
    <w:p>
      <w:r>
        <w:rPr>
          <w:b/>
        </w:rPr>
        <w:t>Scalar Metrics:</w:t>
      </w:r>
    </w:p>
    <w:p>
      <w:pPr>
        <w:shd w:fill="F5F5F5"/>
      </w:pPr>
      <w:r>
        <w:rPr>
          <w:rFonts w:ascii="Courier New" w:hAnsi="Courier New"/>
          <w:color w:val="404040"/>
          <w:sz w:val="16"/>
        </w:rPr>
        <w:t>EPE     ≈ ($1,067k + $833k + $1,167k + $1,520k) / 4 ≈ $1,146,667</w:t>
      </w:r>
    </w:p>
    <w:p>
      <w:pPr>
        <w:shd w:fill="F5F5F5"/>
      </w:pPr>
      <w:r>
        <w:rPr>
          <w:rFonts w:ascii="Courier New" w:hAnsi="Courier New"/>
          <w:color w:val="404040"/>
          <w:sz w:val="16"/>
        </w:rPr>
        <w:t>EEPE    ≈ ($1,067k + $1,067k + $1,167k + $1,520k) / 4 ≈ $1,205,000</w:t>
      </w:r>
    </w:p>
    <w:p>
      <w:pPr>
        <w:shd w:fill="F5F5F5"/>
      </w:pPr>
      <w:r>
        <w:rPr>
          <w:rFonts w:ascii="Courier New" w:hAnsi="Courier New"/>
          <w:color w:val="404040"/>
          <w:sz w:val="16"/>
        </w:rPr>
        <w:t>EAD_IMM = 1.4 × $1,205,000 ≈ $1,687,000</w:t>
      </w:r>
    </w:p>
    <w:p>
      <w:pPr>
        <w:shd w:fill="F5F5F5"/>
      </w:pPr>
      <w:r>
        <w:rPr>
          <w:rFonts w:ascii="Courier New" w:hAnsi="Courier New"/>
          <w:color w:val="404040"/>
          <w:sz w:val="16"/>
        </w:rPr>
        <w:t>PFE(3m)  = $4,000,000   (Sc.5 — idiosyncratic spike to 200bp)</w:t>
      </w:r>
    </w:p>
    <w:p>
      <w:pPr>
        <w:shd w:fill="F5F5F5"/>
      </w:pPr>
      <w:r>
        <w:rPr>
          <w:rFonts w:ascii="Courier New" w:hAnsi="Courier New"/>
          <w:color w:val="404040"/>
          <w:sz w:val="16"/>
        </w:rPr>
        <w:t>PFE(6m)  = $3,400,000   (Sc.1 — sustained deterioration)</w:t>
      </w:r>
    </w:p>
    <w:p>
      <w:pPr>
        <w:shd w:fill="F5F5F5"/>
      </w:pPr>
      <w:r>
        <w:rPr>
          <w:rFonts w:ascii="Courier New" w:hAnsi="Courier New"/>
          <w:color w:val="404040"/>
          <w:sz w:val="16"/>
        </w:rPr>
        <w:t>PFE(12m) = $8,000,000   (Sc.1 — fallen angel scenario → 300bp)</w:t>
      </w:r>
    </w:p>
    <w:p>
      <w:pPr>
        <w:pStyle w:val="Heading3"/>
        <w:jc w:val="left"/>
      </w:pPr>
      <w:r>
        <w:t>F.5 Key Insight — CDS Exposure Profile and Wrong-Way Risk</w:t>
      </w:r>
    </w:p>
    <w:p>
      <w:pPr>
        <w:shd w:fill="F5F5F5"/>
      </w:pPr>
      <w:r>
        <w:rPr>
          <w:rFonts w:ascii="Courier New" w:hAnsi="Courier New"/>
          <w:color w:val="404040"/>
          <w:sz w:val="16"/>
        </w:rPr>
        <w:t>Exposure</w:t>
      </w:r>
    </w:p>
    <w:p>
      <w:pPr>
        <w:shd w:fill="F5F5F5"/>
      </w:pPr>
      <w:r>
        <w:rPr>
          <w:rFonts w:ascii="Courier New" w:hAnsi="Courier New"/>
          <w:color w:val="404040"/>
          <w:sz w:val="16"/>
        </w:rPr>
        <w:t xml:space="preserve"> $8.0M |                              ◇ PFE(12m) — fallen angel</w:t>
      </w:r>
    </w:p>
    <w:p>
      <w:pPr>
        <w:shd w:fill="F5F5F5"/>
      </w:pPr>
      <w:r>
        <w:rPr>
          <w:rFonts w:ascii="Courier New" w:hAnsi="Courier New"/>
          <w:color w:val="404040"/>
          <w:sz w:val="16"/>
        </w:rPr>
        <w:t xml:space="preserve"> $4.0M |  ◇ PFE(3m) — idiosyncratic spike</w:t>
      </w:r>
    </w:p>
    <w:p>
      <w:pPr>
        <w:shd w:fill="F5F5F5"/>
      </w:pPr>
      <w:r>
        <w:rPr>
          <w:rFonts w:ascii="Courier New" w:hAnsi="Courier New"/>
          <w:color w:val="404040"/>
          <w:sz w:val="16"/>
        </w:rPr>
        <w:t xml:space="preserve"> $3.4M |          ◇ PFE(6m)</w:t>
      </w:r>
    </w:p>
    <w:p>
      <w:pPr>
        <w:shd w:fill="F5F5F5"/>
      </w:pPr>
      <w:r>
        <w:rPr>
          <w:rFonts w:ascii="Courier New" w:hAnsi="Courier New"/>
          <w:color w:val="404040"/>
          <w:sz w:val="16"/>
        </w:rPr>
        <w:t xml:space="preserve">       |</w:t>
      </w:r>
    </w:p>
    <w:p>
      <w:pPr>
        <w:shd w:fill="F5F5F5"/>
      </w:pPr>
      <w:r>
        <w:rPr>
          <w:rFonts w:ascii="Courier New" w:hAnsi="Courier New"/>
          <w:color w:val="404040"/>
          <w:sz w:val="16"/>
        </w:rPr>
        <w:t xml:space="preserve"> $1.52M|                              ● EEE(12m)</w:t>
      </w:r>
    </w:p>
    <w:p>
      <w:pPr>
        <w:shd w:fill="F5F5F5"/>
      </w:pPr>
      <w:r>
        <w:rPr>
          <w:rFonts w:ascii="Courier New" w:hAnsi="Courier New"/>
          <w:color w:val="404040"/>
          <w:sz w:val="16"/>
        </w:rPr>
        <w:t xml:space="preserve"> $1.21M|                   ● EEE(9m)</w:t>
      </w:r>
    </w:p>
    <w:p>
      <w:pPr>
        <w:shd w:fill="F5F5F5"/>
      </w:pPr>
      <w:r>
        <w:rPr>
          <w:rFonts w:ascii="Courier New" w:hAnsi="Courier New"/>
          <w:color w:val="404040"/>
          <w:sz w:val="16"/>
        </w:rPr>
        <w:t xml:space="preserve"> $1.21M|  ══════════════════════════  EEPE ≈ $1.21M</w:t>
      </w:r>
    </w:p>
    <w:p>
      <w:pPr>
        <w:shd w:fill="F5F5F5"/>
      </w:pPr>
      <w:r>
        <w:rPr>
          <w:rFonts w:ascii="Courier New" w:hAnsi="Courier New"/>
          <w:color w:val="404040"/>
          <w:sz w:val="16"/>
        </w:rPr>
        <w:t xml:space="preserve"> $1.07M|  ●─────────●  EEE(3m) = EEE(6m)  (ratchet held — EE dipped at 6m)</w:t>
      </w:r>
    </w:p>
    <w:p>
      <w:pPr>
        <w:shd w:fill="F5F5F5"/>
      </w:pPr>
      <w:r>
        <w:rPr>
          <w:rFonts w:ascii="Courier New" w:hAnsi="Courier New"/>
          <w:color w:val="404040"/>
          <w:sz w:val="16"/>
        </w:rPr>
        <w:t xml:space="preserve"> $833k |            ◆  EE(6m) fell ← Sc.5 idiosyncratic spike reversed</w:t>
      </w:r>
    </w:p>
    <w:p>
      <w:pPr>
        <w:shd w:fill="F5F5F5"/>
      </w:pPr>
      <w:r>
        <w:rPr>
          <w:rFonts w:ascii="Courier New" w:hAnsi="Courier New"/>
          <w:color w:val="404040"/>
          <w:sz w:val="16"/>
        </w:rPr>
        <w:t xml:space="preserve">       └──────────────────────────────────────────────────────► Time</w:t>
      </w:r>
    </w:p>
    <w:p>
      <w:pPr>
        <w:shd w:fill="F5F5F5"/>
      </w:pPr>
      <w:r>
        <w:rPr>
          <w:rFonts w:ascii="Courier New" w:hAnsi="Courier New"/>
          <w:color w:val="404040"/>
          <w:sz w:val="16"/>
        </w:rPr>
        <w:t xml:space="preserve">          3m          6m            9m            12m</w:t>
      </w:r>
    </w:p>
    <w:p>
      <w:r>
        <w:rPr>
          <w:b/>
        </w:rPr>
        <w:t>CDS-specific observations:</w:t>
      </w:r>
    </w:p>
    <w:p>
      <w:r>
        <w:rPr>
          <w:b/>
        </w:rPr>
        <w:t>1. Highest EEPE/Notional ratio of all asset classes: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Asset Class</w:t>
            </w:r>
          </w:p>
        </w:tc>
        <w:tc>
          <w:tcPr>
            <w:tcW w:type="dxa" w:w="2160"/>
          </w:tcPr>
          <w:p>
            <w:r>
              <w:rPr>
                <w:b/>
                <w:sz w:val="20"/>
              </w:rPr>
              <w:t>Notional</w:t>
            </w:r>
          </w:p>
        </w:tc>
        <w:tc>
          <w:tcPr>
            <w:tcW w:type="dxa" w:w="2160"/>
          </w:tcPr>
          <w:p>
            <w:r>
              <w:rPr>
                <w:b/>
                <w:sz w:val="20"/>
              </w:rPr>
              <w:t>EEPE</w:t>
            </w:r>
          </w:p>
        </w:tc>
        <w:tc>
          <w:tcPr>
            <w:tcW w:type="dxa" w:w="2160"/>
          </w:tcPr>
          <w:p>
            <w:r>
              <w:rPr>
                <w:b/>
                <w:sz w:val="20"/>
              </w:rPr>
              <w:t>EEPE/Notional</w:t>
            </w:r>
          </w:p>
        </w:tc>
      </w:tr>
      <w:tr>
        <w:tc>
          <w:tcPr>
            <w:tcW w:type="dxa" w:w="2160"/>
          </w:tcPr>
          <w:p>
            <w:r>
              <w:t>Equity TRS</w:t>
            </w:r>
          </w:p>
        </w:tc>
        <w:tc>
          <w:tcPr>
            <w:tcW w:type="dxa" w:w="2160"/>
          </w:tcPr>
          <w:p>
            <w:r>
              <w:t>$10,000,000</w:t>
            </w:r>
          </w:p>
        </w:tc>
        <w:tc>
          <w:tcPr>
            <w:tcW w:type="dxa" w:w="2160"/>
          </w:tcPr>
          <w:p>
            <w:r>
              <w:t>$483,333</w:t>
            </w:r>
          </w:p>
        </w:tc>
        <w:tc>
          <w:tcPr>
            <w:tcW w:type="dxa" w:w="2160"/>
          </w:tcPr>
          <w:p>
            <w:r>
              <w:t>4.8%</w:t>
            </w:r>
          </w:p>
        </w:tc>
      </w:tr>
      <w:tr>
        <w:tc>
          <w:tcPr>
            <w:tcW w:type="dxa" w:w="2160"/>
          </w:tcPr>
          <w:p>
            <w:r>
              <w:t>IRS (Pay Fixed)</w:t>
            </w:r>
          </w:p>
        </w:tc>
        <w:tc>
          <w:tcPr>
            <w:tcW w:type="dxa" w:w="2160"/>
          </w:tcPr>
          <w:p>
            <w:r>
              <w:t>$25,000,000</w:t>
            </w:r>
          </w:p>
        </w:tc>
        <w:tc>
          <w:tcPr>
            <w:tcW w:type="dxa" w:w="2160"/>
          </w:tcPr>
          <w:p>
            <w:r>
              <w:t>$464,271</w:t>
            </w:r>
          </w:p>
        </w:tc>
        <w:tc>
          <w:tcPr>
            <w:tcW w:type="dxa" w:w="2160"/>
          </w:tcPr>
          <w:p>
            <w:r>
              <w:t>1.9%</w:t>
            </w:r>
          </w:p>
        </w:tc>
      </w:tr>
      <w:tr>
        <w:tc>
          <w:tcPr>
            <w:tcW w:type="dxa" w:w="2160"/>
          </w:tcPr>
          <w:p>
            <w:r>
              <w:t>FX Forward</w:t>
            </w:r>
          </w:p>
        </w:tc>
        <w:tc>
          <w:tcPr>
            <w:tcW w:type="dxa" w:w="2160"/>
          </w:tcPr>
          <w:p>
            <w:r>
              <w:t>$5,000,000</w:t>
            </w:r>
          </w:p>
        </w:tc>
        <w:tc>
          <w:tcPr>
            <w:tcW w:type="dxa" w:w="2160"/>
          </w:tcPr>
          <w:p>
            <w:r>
              <w:t>$185,563</w:t>
            </w:r>
          </w:p>
        </w:tc>
        <w:tc>
          <w:tcPr>
            <w:tcW w:type="dxa" w:w="2160"/>
          </w:tcPr>
          <w:p>
            <w:r>
              <w:t>3.7%</w:t>
            </w:r>
          </w:p>
        </w:tc>
      </w:tr>
      <w:tr>
        <w:tc>
          <w:tcPr>
            <w:tcW w:type="dxa" w:w="2160"/>
          </w:tcPr>
          <w:p>
            <w:r>
              <w:t>Commodity Forward</w:t>
            </w:r>
          </w:p>
        </w:tc>
        <w:tc>
          <w:tcPr>
            <w:tcW w:type="dxa" w:w="2160"/>
          </w:tcPr>
          <w:p>
            <w:r>
              <w:t>$8,000,000</w:t>
            </w:r>
          </w:p>
        </w:tc>
        <w:tc>
          <w:tcPr>
            <w:tcW w:type="dxa" w:w="2160"/>
          </w:tcPr>
          <w:p>
            <w:r>
              <w:t>$720,833</w:t>
            </w:r>
          </w:p>
        </w:tc>
        <w:tc>
          <w:tcPr>
            <w:tcW w:type="dxa" w:w="2160"/>
          </w:tcPr>
          <w:p>
            <w:r>
              <w:t>9.0%</w:t>
            </w:r>
          </w:p>
        </w:tc>
      </w:tr>
      <w:tr>
        <w:tc>
          <w:tcPr>
            <w:tcW w:type="dxa" w:w="2160"/>
          </w:tcPr>
          <w:p>
            <w:r>
              <w:t>**CDS (Long Protection)**</w:t>
            </w:r>
          </w:p>
        </w:tc>
        <w:tc>
          <w:tcPr>
            <w:tcW w:type="dxa" w:w="2160"/>
          </w:tcPr>
          <w:p>
            <w:r>
              <w:t>**$10,000,000**</w:t>
            </w:r>
          </w:p>
        </w:tc>
        <w:tc>
          <w:tcPr>
            <w:tcW w:type="dxa" w:w="2160"/>
          </w:tcPr>
          <w:p>
            <w:r>
              <w:t>**$1,205,000**</w:t>
            </w:r>
          </w:p>
        </w:tc>
        <w:tc>
          <w:tcPr>
            <w:tcW w:type="dxa" w:w="2160"/>
          </w:tcPr>
          <w:p>
            <w:r>
              <w:t>**12.1%**</w:t>
            </w:r>
          </w:p>
        </w:tc>
      </w:tr>
    </w:tbl>
    <w:p>
      <w:r>
        <w:t xml:space="preserve">CDS has the highest EEPE/notional ratio — driven by 50% spread volatility and the </w:t>
      </w:r>
      <w:r>
        <w:rPr>
          <w:b/>
        </w:rPr>
        <w:t>jump-to-default</w:t>
      </w:r>
      <w:r>
        <w:t xml:space="preserve"> dynamics where spreads can move from 100bp to 300bp+ in a single event.</w:t>
      </w:r>
    </w:p>
    <w:p>
      <w:r>
        <w:rPr>
          <w:b/>
        </w:rPr>
        <w:t>2. Wrong-Way Risk (WWR) — the unique CDS danger:</w:t>
      </w:r>
    </w:p>
    <w:p>
      <w:pPr>
        <w:shd w:fill="F5F5F5"/>
      </w:pPr>
      <w:r>
        <w:rPr>
          <w:rFonts w:ascii="Courier New" w:hAnsi="Courier New"/>
          <w:color w:val="404040"/>
          <w:sz w:val="16"/>
        </w:rPr>
        <w:t>Scenario: Reference entity starts deteriorating (spreads widen from 100bp to 300bp)</w:t>
      </w:r>
    </w:p>
    <w:p>
      <w:pPr>
        <w:shd w:fill="F5F5F5"/>
      </w:pPr>
      <w:r>
        <w:rPr>
          <w:rFonts w:ascii="Courier New" w:hAnsi="Courier New"/>
          <w:color w:val="404040"/>
          <w:sz w:val="16"/>
        </w:rPr>
        <w:t xml:space="preserve">  → Bank's CDS position gains $8M in MtM</w:t>
      </w:r>
    </w:p>
    <w:p>
      <w:pPr>
        <w:shd w:fill="F5F5F5"/>
      </w:pPr>
      <w:r>
        <w:rPr>
          <w:rFonts w:ascii="Courier New" w:hAnsi="Courier New"/>
          <w:color w:val="404040"/>
          <w:sz w:val="16"/>
        </w:rPr>
        <w:t xml:space="preserve">  → BUT: the CDS counterparty (protection seller) is likely also a financial institution</w:t>
      </w:r>
    </w:p>
    <w:p>
      <w:pPr>
        <w:shd w:fill="F5F5F5"/>
      </w:pPr>
      <w:r>
        <w:rPr>
          <w:rFonts w:ascii="Courier New" w:hAnsi="Courier New"/>
          <w:color w:val="404040"/>
          <w:sz w:val="16"/>
        </w:rPr>
        <w:t xml:space="preserve">  → Financial institutions are correlated with each other (EQ-CR correlation = 0.50 in PROMETHEUS)</w:t>
      </w:r>
    </w:p>
    <w:p>
      <w:pPr>
        <w:shd w:fill="F5F5F5"/>
      </w:pPr>
      <w:r>
        <w:rPr>
          <w:rFonts w:ascii="Courier New" w:hAnsi="Courier New"/>
          <w:color w:val="404040"/>
          <w:sz w:val="16"/>
        </w:rPr>
        <w:t xml:space="preserve">  → As credit spreads widen, the CDS counterparty's own CDS spread is widening too</w:t>
      </w:r>
    </w:p>
    <w:p>
      <w:pPr>
        <w:shd w:fill="F5F5F5"/>
      </w:pPr>
      <w:r>
        <w:rPr>
          <w:rFonts w:ascii="Courier New" w:hAnsi="Courier New"/>
          <w:color w:val="404040"/>
          <w:sz w:val="16"/>
        </w:rPr>
        <w:t xml:space="preserve">  → The probability of CDS counterparty default is HIGHEST at exactly the moment exposure is HIGHEST</w:t>
      </w:r>
    </w:p>
    <w:p>
      <w:pPr>
        <w:shd w:fill="F5F5F5"/>
      </w:pPr>
      <w:r>
        <w:rPr>
          <w:rFonts w:ascii="Courier New" w:hAnsi="Courier New"/>
          <w:color w:val="404040"/>
          <w:sz w:val="16"/>
        </w:rPr>
        <w:t>This is Wrong-Way Risk: correlation between counterparty PD and trade exposure.</w:t>
      </w:r>
    </w:p>
    <w:p>
      <w:pPr>
        <w:shd w:fill="F5F5F5"/>
      </w:pPr>
      <w:r>
        <w:rPr>
          <w:rFonts w:ascii="Courier New" w:hAnsi="Courier New"/>
          <w:color w:val="404040"/>
          <w:sz w:val="16"/>
        </w:rPr>
        <w:t>CRE53.16 requires specific treatment. PROMETHEUS captures this via the</w:t>
      </w:r>
    </w:p>
    <w:p>
      <w:pPr>
        <w:shd w:fill="F5F5F5"/>
      </w:pPr>
      <w:r>
        <w:rPr>
          <w:rFonts w:ascii="Courier New" w:hAnsi="Courier New"/>
          <w:color w:val="404040"/>
          <w:sz w:val="16"/>
        </w:rPr>
        <w:t>correlation matrix (credit factor loaded 0.60 on market factor).</w:t>
      </w:r>
    </w:p>
    <w:p>
      <w:r>
        <w:rPr>
          <w:b/>
        </w:rPr>
        <w:t>3. CVA for a CDS position:</w:t>
      </w:r>
    </w:p>
    <w:p>
      <w:pPr>
        <w:shd w:fill="F5F5F5"/>
      </w:pPr>
      <w:r>
        <w:rPr>
          <w:rFonts w:ascii="Courier New" w:hAnsi="Courier New"/>
          <w:color w:val="404040"/>
          <w:sz w:val="16"/>
        </w:rPr>
        <w:t>CVA = (1 − RR) × Σ EE(t) × PD_ctp(t) × D(t)</w:t>
      </w:r>
    </w:p>
    <w:p>
      <w:pPr>
        <w:shd w:fill="F5F5F5"/>
      </w:pPr>
      <w:r>
        <w:rPr>
          <w:rFonts w:ascii="Courier New" w:hAnsi="Courier New"/>
          <w:color w:val="404040"/>
          <w:sz w:val="16"/>
        </w:rPr>
        <w:t xml:space="preserve">    = 0.60 × Σ EE(t) × PD_ctp(t) × exp(−0.03 × t)</w:t>
      </w:r>
    </w:p>
    <w:p>
      <w:pPr>
        <w:shd w:fill="F5F5F5"/>
      </w:pPr>
      <w:r>
        <w:rPr>
          <w:rFonts w:ascii="Courier New" w:hAnsi="Courier New"/>
          <w:color w:val="404040"/>
          <w:sz w:val="16"/>
        </w:rPr>
        <w:t>If counterparty CDS spread = 80bp:</w:t>
      </w:r>
    </w:p>
    <w:p>
      <w:pPr>
        <w:shd w:fill="F5F5F5"/>
      </w:pPr>
      <w:r>
        <w:rPr>
          <w:rFonts w:ascii="Courier New" w:hAnsi="Courier New"/>
          <w:color w:val="404040"/>
          <w:sz w:val="16"/>
        </w:rPr>
        <w:t xml:space="preserve">  λ_ctp = 0.0080 / 0.60 = 0.01333</w:t>
      </w:r>
    </w:p>
    <w:p>
      <w:pPr>
        <w:shd w:fill="F5F5F5"/>
      </w:pPr>
      <w:r>
        <w:rPr>
          <w:rFonts w:ascii="Courier New" w:hAnsi="Courier New"/>
          <w:color w:val="404040"/>
          <w:sz w:val="16"/>
        </w:rPr>
        <w:t xml:space="preserve">  PD(1yr) = 1 − exp(−0.01333) ≈ 1.32%</w:t>
      </w:r>
    </w:p>
    <w:p>
      <w:pPr>
        <w:shd w:fill="F5F5F5"/>
      </w:pPr>
      <w:r>
        <w:rPr>
          <w:rFonts w:ascii="Courier New" w:hAnsi="Courier New"/>
          <w:color w:val="404040"/>
          <w:sz w:val="16"/>
        </w:rPr>
        <w:t xml:space="preserve">  CVA ≈ 0.60 × $1,146,667 × 0.0132 ≈ $9,083</w:t>
      </w:r>
    </w:p>
    <w:p>
      <w:pPr>
        <w:shd w:fill="F5F5F5"/>
      </w:pPr>
      <w:r>
        <w:rPr>
          <w:rFonts w:ascii="Courier New" w:hAnsi="Courier New"/>
          <w:color w:val="404040"/>
          <w:sz w:val="16"/>
        </w:rPr>
        <w:t>This is the premium the bank should theoretically charge the CDS counterparty</w:t>
      </w:r>
    </w:p>
    <w:p>
      <w:pPr>
        <w:shd w:fill="F5F5F5"/>
      </w:pPr>
      <w:r>
        <w:rPr>
          <w:rFonts w:ascii="Courier New" w:hAnsi="Courier New"/>
          <w:color w:val="404040"/>
          <w:sz w:val="16"/>
        </w:rPr>
        <w:t>for bearing their credit risk on this protection-buying position.</w:t>
      </w:r>
    </w:p>
    <w:p>
      <w:r>
        <w:rPr>
          <w:b/>
        </w:rPr>
        <w:t>Stressed scenario (σ_spread = 100%, double the base):</w:t>
      </w:r>
    </w:p>
    <w:p>
      <w:pPr>
        <w:shd w:fill="F5F5F5"/>
      </w:pPr>
      <w:r>
        <w:rPr>
          <w:rFonts w:ascii="Courier New" w:hAnsi="Courier New"/>
          <w:color w:val="404040"/>
          <w:sz w:val="16"/>
        </w:rPr>
        <w:t>Stressed EEPE ≈ $2,100,000</w:t>
      </w:r>
    </w:p>
    <w:p>
      <w:pPr>
        <w:shd w:fill="F5F5F5"/>
      </w:pPr>
      <w:r>
        <w:rPr>
          <w:rFonts w:ascii="Courier New" w:hAnsi="Courier New"/>
          <w:color w:val="404040"/>
          <w:sz w:val="16"/>
        </w:rPr>
        <w:t>Stressed EAD  = 1.4 × $2,100,000 = $2,940,000</w:t>
      </w:r>
    </w:p>
    <w:p>
      <w:pPr>
        <w:shd w:fill="F5F5F5"/>
      </w:pPr>
      <w:r>
        <w:rPr>
          <w:rFonts w:ascii="Courier New" w:hAnsi="Courier New"/>
          <w:color w:val="404040"/>
          <w:sz w:val="16"/>
        </w:rPr>
        <w:t>Capital EAD   = max($1,687,000, $2,940,000) = $2,940,000</w:t>
      </w:r>
    </w:p>
    <w:p>
      <w:pPr>
        <w:pStyle w:val="Heading2"/>
        <w:jc w:val="left"/>
      </w:pPr>
      <w:r>
        <w:t>Appendix G: Cross-Asset Comparison — All Five Trade Types</w:t>
      </w:r>
    </w:p>
    <w:p>
      <w:pPr>
        <w:pStyle w:val="Heading3"/>
        <w:jc w:val="left"/>
      </w:pPr>
      <w:r>
        <w:t>G.1 Summary Table — All Metrics at a Glance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Trade</w:t>
            </w:r>
          </w:p>
        </w:tc>
        <w:tc>
          <w:tcPr>
            <w:tcW w:type="dxa" w:w="960"/>
          </w:tcPr>
          <w:p>
            <w:r>
              <w:rPr>
                <w:b/>
                <w:sz w:val="20"/>
              </w:rPr>
              <w:t>Asset Class</w:t>
            </w:r>
          </w:p>
        </w:tc>
        <w:tc>
          <w:tcPr>
            <w:tcW w:type="dxa" w:w="960"/>
          </w:tcPr>
          <w:p>
            <w:r>
              <w:rPr>
                <w:b/>
                <w:sz w:val="20"/>
              </w:rPr>
              <w:t>Notional</w:t>
            </w:r>
          </w:p>
        </w:tc>
        <w:tc>
          <w:tcPr>
            <w:tcW w:type="dxa" w:w="960"/>
          </w:tcPr>
          <w:p>
            <w:r>
              <w:rPr>
                <w:b/>
                <w:sz w:val="20"/>
              </w:rPr>
              <w:t>Model</w:t>
            </w:r>
          </w:p>
        </w:tc>
        <w:tc>
          <w:tcPr>
            <w:tcW w:type="dxa" w:w="960"/>
          </w:tcPr>
          <w:p>
            <w:r>
              <w:rPr>
                <w:b/>
                <w:sz w:val="20"/>
              </w:rPr>
              <w:t>Base Vol</w:t>
            </w:r>
          </w:p>
        </w:tc>
        <w:tc>
          <w:tcPr>
            <w:tcW w:type="dxa" w:w="960"/>
          </w:tcPr>
          <w:p>
            <w:r>
              <w:rPr>
                <w:b/>
                <w:sz w:val="20"/>
              </w:rPr>
              <w:t>EEPE</w:t>
            </w:r>
          </w:p>
        </w:tc>
        <w:tc>
          <w:tcPr>
            <w:tcW w:type="dxa" w:w="960"/>
          </w:tcPr>
          <w:p>
            <w:r>
              <w:rPr>
                <w:b/>
                <w:sz w:val="20"/>
              </w:rPr>
              <w:t>EAD_IMM</w:t>
            </w:r>
          </w:p>
        </w:tc>
        <w:tc>
          <w:tcPr>
            <w:tcW w:type="dxa" w:w="960"/>
          </w:tcPr>
          <w:p>
            <w:r>
              <w:rPr>
                <w:b/>
                <w:sz w:val="20"/>
              </w:rPr>
              <w:t>Stressed EAD</w:t>
            </w:r>
          </w:p>
        </w:tc>
        <w:tc>
          <w:tcPr>
            <w:tcW w:type="dxa" w:w="960"/>
          </w:tcPr>
          <w:p>
            <w:r>
              <w:rPr>
                <w:b/>
                <w:sz w:val="20"/>
              </w:rPr>
              <w:t>PFE(12m)</w:t>
            </w:r>
          </w:p>
        </w:tc>
      </w:tr>
      <w:tr>
        <w:tc>
          <w:tcPr>
            <w:tcW w:type="dxa" w:w="960"/>
          </w:tcPr>
          <w:p>
            <w:r>
              <w:t>Equity TRS (Long)</w:t>
            </w:r>
          </w:p>
        </w:tc>
        <w:tc>
          <w:tcPr>
            <w:tcW w:type="dxa" w:w="960"/>
          </w:tcPr>
          <w:p>
            <w:r>
              <w:t>EQ</w:t>
            </w:r>
          </w:p>
        </w:tc>
        <w:tc>
          <w:tcPr>
            <w:tcW w:type="dxa" w:w="960"/>
          </w:tcPr>
          <w:p>
            <w:r>
              <w:t>$10M</w:t>
            </w:r>
          </w:p>
        </w:tc>
        <w:tc>
          <w:tcPr>
            <w:tcW w:type="dxa" w:w="960"/>
          </w:tcPr>
          <w:p>
            <w:r>
              <w:t>GBM</w:t>
            </w:r>
          </w:p>
        </w:tc>
        <w:tc>
          <w:tcPr>
            <w:tcW w:type="dxa" w:w="960"/>
          </w:tcPr>
          <w:p>
            <w:r>
              <w:t>20%</w:t>
            </w:r>
          </w:p>
        </w:tc>
        <w:tc>
          <w:tcPr>
            <w:tcW w:type="dxa" w:w="960"/>
          </w:tcPr>
          <w:p>
            <w:r>
              <w:t>$483k</w:t>
            </w:r>
          </w:p>
        </w:tc>
        <w:tc>
          <w:tcPr>
            <w:tcW w:type="dxa" w:w="960"/>
          </w:tcPr>
          <w:p>
            <w:r>
              <w:t>$677k</w:t>
            </w:r>
          </w:p>
        </w:tc>
        <w:tc>
          <w:tcPr>
            <w:tcW w:type="dxa" w:w="960"/>
          </w:tcPr>
          <w:p>
            <w:r>
              <w:t>$1,148k</w:t>
            </w:r>
          </w:p>
        </w:tc>
        <w:tc>
          <w:tcPr>
            <w:tcW w:type="dxa" w:w="960"/>
          </w:tcPr>
          <w:p>
            <w:r>
              <w:t>$3,000k</w:t>
            </w:r>
          </w:p>
        </w:tc>
      </w:tr>
      <w:tr>
        <w:tc>
          <w:tcPr>
            <w:tcW w:type="dxa" w:w="960"/>
          </w:tcPr>
          <w:p>
            <w:r>
              <w:t>IRS (Pay Fixed)</w:t>
            </w:r>
          </w:p>
        </w:tc>
        <w:tc>
          <w:tcPr>
            <w:tcW w:type="dxa" w:w="960"/>
          </w:tcPr>
          <w:p>
            <w:r>
              <w:t>IR</w:t>
            </w:r>
          </w:p>
        </w:tc>
        <w:tc>
          <w:tcPr>
            <w:tcW w:type="dxa" w:w="960"/>
          </w:tcPr>
          <w:p>
            <w:r>
              <w:t>$25M</w:t>
            </w:r>
          </w:p>
        </w:tc>
        <w:tc>
          <w:tcPr>
            <w:tcW w:type="dxa" w:w="960"/>
          </w:tcPr>
          <w:p>
            <w:r>
              <w:t>Hull-White</w:t>
            </w:r>
          </w:p>
        </w:tc>
        <w:tc>
          <w:tcPr>
            <w:tcW w:type="dxa" w:w="960"/>
          </w:tcPr>
          <w:p>
            <w:r>
              <w:t>1.5%</w:t>
            </w:r>
          </w:p>
        </w:tc>
        <w:tc>
          <w:tcPr>
            <w:tcW w:type="dxa" w:w="960"/>
          </w:tcPr>
          <w:p>
            <w:r>
              <w:t>$464k</w:t>
            </w:r>
          </w:p>
        </w:tc>
        <w:tc>
          <w:tcPr>
            <w:tcW w:type="dxa" w:w="960"/>
          </w:tcPr>
          <w:p>
            <w:r>
              <w:t>$650k</w:t>
            </w:r>
          </w:p>
        </w:tc>
        <w:tc>
          <w:tcPr>
            <w:tcW w:type="dxa" w:w="960"/>
          </w:tcPr>
          <w:p>
            <w:r>
              <w:t>$1,092k</w:t>
            </w:r>
          </w:p>
        </w:tc>
        <w:tc>
          <w:tcPr>
            <w:tcW w:type="dxa" w:w="960"/>
          </w:tcPr>
          <w:p>
            <w:r>
              <w:t>$2,458k</w:t>
            </w:r>
          </w:p>
        </w:tc>
      </w:tr>
      <w:tr>
        <w:tc>
          <w:tcPr>
            <w:tcW w:type="dxa" w:w="960"/>
          </w:tcPr>
          <w:p>
            <w:r>
              <w:t>FX Forward (Long EUR)</w:t>
            </w:r>
          </w:p>
        </w:tc>
        <w:tc>
          <w:tcPr>
            <w:tcW w:type="dxa" w:w="960"/>
          </w:tcPr>
          <w:p>
            <w:r>
              <w:t>FX</w:t>
            </w:r>
          </w:p>
        </w:tc>
        <w:tc>
          <w:tcPr>
            <w:tcW w:type="dxa" w:w="960"/>
          </w:tcPr>
          <w:p>
            <w:r>
              <w:t>$5M</w:t>
            </w:r>
          </w:p>
        </w:tc>
        <w:tc>
          <w:tcPr>
            <w:tcW w:type="dxa" w:w="960"/>
          </w:tcPr>
          <w:p>
            <w:r>
              <w:t>GBM</w:t>
            </w:r>
          </w:p>
        </w:tc>
        <w:tc>
          <w:tcPr>
            <w:tcW w:type="dxa" w:w="960"/>
          </w:tcPr>
          <w:p>
            <w:r>
              <w:t>20%</w:t>
            </w:r>
          </w:p>
        </w:tc>
        <w:tc>
          <w:tcPr>
            <w:tcW w:type="dxa" w:w="960"/>
          </w:tcPr>
          <w:p>
            <w:r>
              <w:t>$186k</w:t>
            </w:r>
          </w:p>
        </w:tc>
        <w:tc>
          <w:tcPr>
            <w:tcW w:type="dxa" w:w="960"/>
          </w:tcPr>
          <w:p>
            <w:r>
              <w:t>$260k</w:t>
            </w:r>
          </w:p>
        </w:tc>
        <w:tc>
          <w:tcPr>
            <w:tcW w:type="dxa" w:w="960"/>
          </w:tcPr>
          <w:p>
            <w:r>
              <w:t>$441k</w:t>
            </w:r>
          </w:p>
        </w:tc>
        <w:tc>
          <w:tcPr>
            <w:tcW w:type="dxa" w:w="960"/>
          </w:tcPr>
          <w:p>
            <w:r>
              <w:t>$1,136k</w:t>
            </w:r>
          </w:p>
        </w:tc>
      </w:tr>
      <w:tr>
        <w:tc>
          <w:tcPr>
            <w:tcW w:type="dxa" w:w="960"/>
          </w:tcPr>
          <w:p>
            <w:r>
              <w:t>Commodity Forward (Long Oil)</w:t>
            </w:r>
          </w:p>
        </w:tc>
        <w:tc>
          <w:tcPr>
            <w:tcW w:type="dxa" w:w="960"/>
          </w:tcPr>
          <w:p>
            <w:r>
              <w:t>CMDTY</w:t>
            </w:r>
          </w:p>
        </w:tc>
        <w:tc>
          <w:tcPr>
            <w:tcW w:type="dxa" w:w="960"/>
          </w:tcPr>
          <w:p>
            <w:r>
              <w:t>$8M</w:t>
            </w:r>
          </w:p>
        </w:tc>
        <w:tc>
          <w:tcPr>
            <w:tcW w:type="dxa" w:w="960"/>
          </w:tcPr>
          <w:p>
            <w:r>
              <w:t>GBM</w:t>
            </w:r>
          </w:p>
        </w:tc>
        <w:tc>
          <w:tcPr>
            <w:tcW w:type="dxa" w:w="960"/>
          </w:tcPr>
          <w:p>
            <w:r>
              <w:t>30%</w:t>
            </w:r>
          </w:p>
        </w:tc>
        <w:tc>
          <w:tcPr>
            <w:tcW w:type="dxa" w:w="960"/>
          </w:tcPr>
          <w:p>
            <w:r>
              <w:t>$721k</w:t>
            </w:r>
          </w:p>
        </w:tc>
        <w:tc>
          <w:tcPr>
            <w:tcW w:type="dxa" w:w="960"/>
          </w:tcPr>
          <w:p>
            <w:r>
              <w:t>$1,009k</w:t>
            </w:r>
          </w:p>
        </w:tc>
        <w:tc>
          <w:tcPr>
            <w:tcW w:type="dxa" w:w="960"/>
          </w:tcPr>
          <w:p>
            <w:r>
              <w:t>$1,932k</w:t>
            </w:r>
          </w:p>
        </w:tc>
        <w:tc>
          <w:tcPr>
            <w:tcW w:type="dxa" w:w="960"/>
          </w:tcPr>
          <w:p>
            <w:r>
              <w:t>$4,000k</w:t>
            </w:r>
          </w:p>
        </w:tc>
      </w:tr>
      <w:tr>
        <w:tc>
          <w:tcPr>
            <w:tcW w:type="dxa" w:w="960"/>
          </w:tcPr>
          <w:p>
            <w:r>
              <w:t>CDS (Long Protection)</w:t>
            </w:r>
          </w:p>
        </w:tc>
        <w:tc>
          <w:tcPr>
            <w:tcW w:type="dxa" w:w="960"/>
          </w:tcPr>
          <w:p>
            <w:r>
              <w:t>CR</w:t>
            </w:r>
          </w:p>
        </w:tc>
        <w:tc>
          <w:tcPr>
            <w:tcW w:type="dxa" w:w="960"/>
          </w:tcPr>
          <w:p>
            <w:r>
              <w:t>$10M</w:t>
            </w:r>
          </w:p>
        </w:tc>
        <w:tc>
          <w:tcPr>
            <w:tcW w:type="dxa" w:w="960"/>
          </w:tcPr>
          <w:p>
            <w:r>
              <w:t>GBM (spread)</w:t>
            </w:r>
          </w:p>
        </w:tc>
        <w:tc>
          <w:tcPr>
            <w:tcW w:type="dxa" w:w="960"/>
          </w:tcPr>
          <w:p>
            <w:r>
              <w:t>50%</w:t>
            </w:r>
          </w:p>
        </w:tc>
        <w:tc>
          <w:tcPr>
            <w:tcW w:type="dxa" w:w="960"/>
          </w:tcPr>
          <w:p>
            <w:r>
              <w:t>$1,205k</w:t>
            </w:r>
          </w:p>
        </w:tc>
        <w:tc>
          <w:tcPr>
            <w:tcW w:type="dxa" w:w="960"/>
          </w:tcPr>
          <w:p>
            <w:r>
              <w:t>$1,687k</w:t>
            </w:r>
          </w:p>
        </w:tc>
        <w:tc>
          <w:tcPr>
            <w:tcW w:type="dxa" w:w="960"/>
          </w:tcPr>
          <w:p>
            <w:r>
              <w:t>$2,940k</w:t>
            </w:r>
          </w:p>
        </w:tc>
        <w:tc>
          <w:tcPr>
            <w:tcW w:type="dxa" w:w="960"/>
          </w:tcPr>
          <w:p>
            <w:r>
              <w:t>$8,000k</w:t>
            </w:r>
          </w:p>
        </w:tc>
      </w:tr>
    </w:tbl>
    <w:p>
      <w:pPr>
        <w:pStyle w:val="Heading3"/>
        <w:jc w:val="left"/>
      </w:pPr>
      <w:r>
        <w:t>G.2 EEPE as % of Notional — Capital Intensity by Asset Class</w:t>
      </w:r>
    </w:p>
    <w:p>
      <w:pPr>
        <w:shd w:fill="F5F5F5"/>
      </w:pPr>
      <w:r>
        <w:rPr>
          <w:rFonts w:ascii="Courier New" w:hAnsi="Courier New"/>
          <w:color w:val="404040"/>
          <w:sz w:val="16"/>
        </w:rPr>
        <w:t>Asset Class     | EEPE / Notional | Driver</w:t>
      </w:r>
    </w:p>
    <w:p>
      <w:pPr>
        <w:shd w:fill="F5F5F5"/>
      </w:pPr>
      <w:r>
        <w:rPr>
          <w:rFonts w:ascii="Courier New" w:hAnsi="Courier New"/>
          <w:color w:val="404040"/>
          <w:sz w:val="16"/>
        </w:rPr>
        <w:t>────────────────────────────────────────────────────────────────────</w:t>
      </w:r>
    </w:p>
    <w:p>
      <w:pPr>
        <w:shd w:fill="F5F5F5"/>
      </w:pPr>
      <w:r>
        <w:rPr>
          <w:rFonts w:ascii="Courier New" w:hAnsi="Courier New"/>
          <w:color w:val="404040"/>
          <w:sz w:val="16"/>
        </w:rPr>
        <w:t>IRS             |     1.9%        | Low IR vol (1.5%), mean reversion dampens extremes</w:t>
      </w:r>
    </w:p>
    <w:p>
      <w:pPr>
        <w:shd w:fill="F5F5F5"/>
      </w:pPr>
      <w:r>
        <w:rPr>
          <w:rFonts w:ascii="Courier New" w:hAnsi="Courier New"/>
          <w:color w:val="404040"/>
          <w:sz w:val="16"/>
        </w:rPr>
        <w:t>FX Forward      |     3.7%        | Medium vol (20%), but linear payoff grows with √t</w:t>
      </w:r>
    </w:p>
    <w:p>
      <w:pPr>
        <w:shd w:fill="F5F5F5"/>
      </w:pPr>
      <w:r>
        <w:rPr>
          <w:rFonts w:ascii="Courier New" w:hAnsi="Courier New"/>
          <w:color w:val="404040"/>
          <w:sz w:val="16"/>
        </w:rPr>
        <w:t>Equity TRS      |     4.8%        | GBM with 20% vol, no mean reversion</w:t>
      </w:r>
    </w:p>
    <w:p>
      <w:pPr>
        <w:shd w:fill="F5F5F5"/>
      </w:pPr>
      <w:r>
        <w:rPr>
          <w:rFonts w:ascii="Courier New" w:hAnsi="Courier New"/>
          <w:color w:val="404040"/>
          <w:sz w:val="16"/>
        </w:rPr>
        <w:t>Commodity Fwd   |     9.0%        | Higher vol (30%), supply shock spikes</w:t>
      </w:r>
    </w:p>
    <w:p>
      <w:pPr>
        <w:shd w:fill="F5F5F5"/>
      </w:pPr>
      <w:r>
        <w:rPr>
          <w:rFonts w:ascii="Courier New" w:hAnsi="Courier New"/>
          <w:color w:val="404040"/>
          <w:sz w:val="16"/>
        </w:rPr>
        <w:t>CDS Prot.       |    12.1%        | Highest vol (50%), jump-to-default, wrong-way risk</w:t>
      </w:r>
    </w:p>
    <w:p>
      <w:pPr>
        <w:shd w:fill="F5F5F5"/>
      </w:pPr>
      <w:r>
        <w:rPr>
          <w:rFonts w:ascii="Courier New" w:hAnsi="Courier New"/>
          <w:color w:val="404040"/>
          <w:sz w:val="16"/>
        </w:rPr>
        <w:t>────────────────────────────────────────────────────────────────────</w:t>
      </w:r>
    </w:p>
    <w:p>
      <w:pPr>
        <w:pStyle w:val="Heading3"/>
        <w:jc w:val="left"/>
      </w:pPr>
      <w:r>
        <w:t>G.3 The Role of the EEE Ratchet — When It Mattered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Trade</w:t>
            </w:r>
          </w:p>
        </w:tc>
        <w:tc>
          <w:tcPr>
            <w:tcW w:type="dxa" w:w="2160"/>
          </w:tcPr>
          <w:p>
            <w:r>
              <w:rPr>
                <w:b/>
                <w:sz w:val="20"/>
              </w:rPr>
              <w:t>Did EE Fall Mid-Life?</w:t>
            </w:r>
          </w:p>
        </w:tc>
        <w:tc>
          <w:tcPr>
            <w:tcW w:type="dxa" w:w="2160"/>
          </w:tcPr>
          <w:p>
            <w:r>
              <w:rPr>
                <w:b/>
                <w:sz w:val="20"/>
              </w:rPr>
              <w:t>EEE Ratchet Effect</w:t>
            </w:r>
          </w:p>
        </w:tc>
        <w:tc>
          <w:tcPr>
            <w:tcW w:type="dxa" w:w="2160"/>
          </w:tcPr>
          <w:p>
            <w:r>
              <w:rPr>
                <w:b/>
                <w:sz w:val="20"/>
              </w:rPr>
              <w:t>Capital Impact</w:t>
            </w:r>
          </w:p>
        </w:tc>
      </w:tr>
      <w:tr>
        <w:tc>
          <w:tcPr>
            <w:tcW w:type="dxa" w:w="2160"/>
          </w:tcPr>
          <w:p>
            <w:r>
              <w:t>Equity TRS</w:t>
            </w:r>
          </w:p>
        </w:tc>
        <w:tc>
          <w:tcPr>
            <w:tcW w:type="dxa" w:w="2160"/>
          </w:tcPr>
          <w:p>
            <w:r>
              <w:t>No — EE grew monotonically</w:t>
            </w:r>
          </w:p>
        </w:tc>
        <w:tc>
          <w:tcPr>
            <w:tcW w:type="dxa" w:w="2160"/>
          </w:tcPr>
          <w:p>
            <w:r>
              <w:t>Minimal</w:t>
            </w:r>
          </w:p>
        </w:tc>
        <w:tc>
          <w:tcPr>
            <w:tcW w:type="dxa" w:w="2160"/>
          </w:tcPr>
          <w:p>
            <w:r>
              <w:t>EEPE ≈ EPE</w:t>
            </w:r>
          </w:p>
        </w:tc>
      </w:tr>
      <w:tr>
        <w:tc>
          <w:tcPr>
            <w:tcW w:type="dxa" w:w="2160"/>
          </w:tcPr>
          <w:p>
            <w:r>
              <w:t>IRS (Pay Fixed)</w:t>
            </w:r>
          </w:p>
        </w:tc>
        <w:tc>
          <w:tcPr>
            <w:tcW w:type="dxa" w:w="2160"/>
          </w:tcPr>
          <w:p>
            <w:r>
              <w:t>Minimal</w:t>
            </w:r>
          </w:p>
        </w:tc>
        <w:tc>
          <w:tcPr>
            <w:tcW w:type="dxa" w:w="2160"/>
          </w:tcPr>
          <w:p>
            <w:r>
              <w:t>Small uplift at 6m</w:t>
            </w:r>
          </w:p>
        </w:tc>
        <w:tc>
          <w:tcPr>
            <w:tcW w:type="dxa" w:w="2160"/>
          </w:tcPr>
          <w:p>
            <w:r>
              <w:t>EEPE ≈ EPE</w:t>
            </w:r>
          </w:p>
        </w:tc>
      </w:tr>
      <w:tr>
        <w:tc>
          <w:tcPr>
            <w:tcW w:type="dxa" w:w="2160"/>
          </w:tcPr>
          <w:p>
            <w:r>
              <w:t>FX Forward</w:t>
            </w:r>
          </w:p>
        </w:tc>
        <w:tc>
          <w:tcPr>
            <w:tcW w:type="dxa" w:w="2160"/>
          </w:tcPr>
          <w:p>
            <w:r>
              <w:t>**Yes — EE fell at 6m** (Sc.5 spike reversed)</w:t>
            </w:r>
          </w:p>
        </w:tc>
        <w:tc>
          <w:tcPr>
            <w:tcW w:type="dxa" w:w="2160"/>
          </w:tcPr>
          <w:p>
            <w:r>
              <w:t>Ratchet held EEE flat</w:t>
            </w:r>
          </w:p>
        </w:tc>
        <w:tc>
          <w:tcPr>
            <w:tcW w:type="dxa" w:w="2160"/>
          </w:tcPr>
          <w:p>
            <w:r>
              <w:t>EEPE &gt; EPE by ~2%</w:t>
            </w:r>
          </w:p>
        </w:tc>
      </w:tr>
      <w:tr>
        <w:tc>
          <w:tcPr>
            <w:tcW w:type="dxa" w:w="2160"/>
          </w:tcPr>
          <w:p>
            <w:r>
              <w:t>Commodity Forward</w:t>
            </w:r>
          </w:p>
        </w:tc>
        <w:tc>
          <w:tcPr>
            <w:tcW w:type="dxa" w:w="2160"/>
          </w:tcPr>
          <w:p>
            <w:r>
              <w:t>**Yes — EE fell at 6m** (Sc.5 spike reversed)</w:t>
            </w:r>
          </w:p>
        </w:tc>
        <w:tc>
          <w:tcPr>
            <w:tcW w:type="dxa" w:w="2160"/>
          </w:tcPr>
          <w:p>
            <w:r>
              <w:t>Ratchet preserved $667k</w:t>
            </w:r>
          </w:p>
        </w:tc>
        <w:tc>
          <w:tcPr>
            <w:tcW w:type="dxa" w:w="2160"/>
          </w:tcPr>
          <w:p>
            <w:r>
              <w:t>EEPE &gt; EPE by ~6%</w:t>
            </w:r>
          </w:p>
        </w:tc>
      </w:tr>
      <w:tr>
        <w:tc>
          <w:tcPr>
            <w:tcW w:type="dxa" w:w="2160"/>
          </w:tcPr>
          <w:p>
            <w:r>
              <w:t>CDS (Long Prot.)</w:t>
            </w:r>
          </w:p>
        </w:tc>
        <w:tc>
          <w:tcPr>
            <w:tcW w:type="dxa" w:w="2160"/>
          </w:tcPr>
          <w:p>
            <w:r>
              <w:t>**Yes — EE fell at 6m** (Sc.5 idiosyncratic)</w:t>
            </w:r>
          </w:p>
        </w:tc>
        <w:tc>
          <w:tcPr>
            <w:tcW w:type="dxa" w:w="2160"/>
          </w:tcPr>
          <w:p>
            <w:r>
              <w:t>Ratchet preserved $1,067k</w:t>
            </w:r>
          </w:p>
        </w:tc>
        <w:tc>
          <w:tcPr>
            <w:tcW w:type="dxa" w:w="2160"/>
          </w:tcPr>
          <w:p>
            <w:r>
              <w:t>EEPE &gt; EPE by ~5%</w:t>
            </w:r>
          </w:p>
        </w:tc>
      </w:tr>
    </w:tbl>
    <w:p>
      <w:pPr>
        <w:pStyle w:val="Heading3"/>
        <w:jc w:val="left"/>
      </w:pPr>
      <w:r>
        <w:t>G.4 Key Takeaway for the CRO</w:t>
      </w:r>
    </w:p>
    <w:p>
      <w:pPr>
        <w:shd w:fill="F5F5F5"/>
      </w:pPr>
      <w:r>
        <w:rPr>
          <w:rFonts w:ascii="Courier New" w:hAnsi="Courier New"/>
          <w:color w:val="404040"/>
          <w:sz w:val="16"/>
        </w:rPr>
        <w:t>The three levers that drive EAD under IMM:</w:t>
      </w:r>
    </w:p>
    <w:p>
      <w:pPr>
        <w:shd w:fill="F5F5F5"/>
      </w:pPr>
      <w:r>
        <w:rPr>
          <w:rFonts w:ascii="Courier New" w:hAnsi="Courier New"/>
          <w:color w:val="404040"/>
          <w:sz w:val="16"/>
        </w:rPr>
        <w:t xml:space="preserve">  1. Volatility (σ):    Higher vol → wider distribution → higher EE → higher EEPE</w:t>
      </w:r>
    </w:p>
    <w:p>
      <w:pPr>
        <w:shd w:fill="F5F5F5"/>
      </w:pPr>
      <w:r>
        <w:rPr>
          <w:rFonts w:ascii="Courier New" w:hAnsi="Courier New"/>
          <w:color w:val="404040"/>
          <w:sz w:val="16"/>
        </w:rPr>
        <w:t xml:space="preserve">                        Commodity (30%) and Credit (50%) are the most capital-intensive</w:t>
      </w:r>
    </w:p>
    <w:p>
      <w:pPr>
        <w:shd w:fill="F5F5F5"/>
      </w:pPr>
      <w:r>
        <w:rPr>
          <w:rFonts w:ascii="Courier New" w:hAnsi="Courier New"/>
          <w:color w:val="404040"/>
          <w:sz w:val="16"/>
        </w:rPr>
        <w:t xml:space="preserve">  2. EEE Ratchet:       Prevents capital from falling when short-lived spikes reverse</w:t>
      </w:r>
    </w:p>
    <w:p>
      <w:pPr>
        <w:shd w:fill="F5F5F5"/>
      </w:pPr>
      <w:r>
        <w:rPr>
          <w:rFonts w:ascii="Courier New" w:hAnsi="Courier New"/>
          <w:color w:val="404040"/>
          <w:sz w:val="16"/>
        </w:rPr>
        <w:t xml:space="preserve">                        Most impactful for instruments with high short-term vol</w:t>
      </w:r>
    </w:p>
    <w:p>
      <w:pPr>
        <w:shd w:fill="F5F5F5"/>
      </w:pPr>
      <w:r>
        <w:rPr>
          <w:rFonts w:ascii="Courier New" w:hAnsi="Courier New"/>
          <w:color w:val="404040"/>
          <w:sz w:val="16"/>
        </w:rPr>
        <w:t xml:space="preserve">                        (CDS, Commodity) that tend to spike-and-revert</w:t>
      </w:r>
    </w:p>
    <w:p>
      <w:pPr>
        <w:shd w:fill="F5F5F5"/>
      </w:pPr>
      <w:r>
        <w:rPr>
          <w:rFonts w:ascii="Courier New" w:hAnsi="Courier New"/>
          <w:color w:val="404040"/>
          <w:sz w:val="16"/>
        </w:rPr>
        <w:t xml:space="preserve">  3. Alpha (×1.4):      A flat 40% supervisory loading on all asset classes</w:t>
      </w:r>
    </w:p>
    <w:p>
      <w:pPr>
        <w:shd w:fill="F5F5F5"/>
      </w:pPr>
      <w:r>
        <w:rPr>
          <w:rFonts w:ascii="Courier New" w:hAnsi="Courier New"/>
          <w:color w:val="404040"/>
          <w:sz w:val="16"/>
        </w:rPr>
        <w:t xml:space="preserve">                        Compensates for model uncertainty, wrong-way risk,</w:t>
      </w:r>
    </w:p>
    <w:p>
      <w:pPr>
        <w:shd w:fill="F5F5F5"/>
      </w:pPr>
      <w:r>
        <w:rPr>
          <w:rFonts w:ascii="Courier New" w:hAnsi="Courier New"/>
          <w:color w:val="404040"/>
          <w:sz w:val="16"/>
        </w:rPr>
        <w:t xml:space="preserve">                        and concentration risk not fully captured in EEPE</w:t>
      </w:r>
    </w:p>
    <w:p>
      <w:pPr>
        <w:shd w:fill="F5F5F5"/>
      </w:pPr>
      <w:r>
        <w:rPr>
          <w:rFonts w:ascii="Courier New" w:hAnsi="Courier New"/>
          <w:color w:val="404040"/>
          <w:sz w:val="16"/>
        </w:rPr>
        <w:t>EAD_IMM = 1.4 × EEPE — this single formula links every Monte Carlo path,</w:t>
      </w:r>
    </w:p>
    <w:p>
      <w:pPr>
        <w:shd w:fill="F5F5F5"/>
      </w:pPr>
      <w:r>
        <w:rPr>
          <w:rFonts w:ascii="Courier New" w:hAnsi="Courier New"/>
          <w:color w:val="404040"/>
          <w:sz w:val="16"/>
        </w:rPr>
        <w:t>every scenario, every time step back to one regulatory capital number.</w:t>
      </w:r>
    </w:p>
    <w:p>
      <w:r>
        <w:rPr>
          <w:i/>
        </w:rPr>
        <w:t>This document was auto-generated from the PROMETHEUS `imm.py` source code and reflects the implementation as of April 2026. Regulatory references are to the Basel Framework (bis.org/basel_framework) CRE53 standard effective 1 January 2023.</w:t>
      </w:r>
    </w:p>
    <w:p/>
    <w:p>
      <w:pPr>
        <w:ind w:left="720"/>
      </w:pPr>
      <w:r>
        <w:rPr>
          <w:i/>
        </w:rPr>
        <w:t>Source: IMM_TECHNICAL_GUIDE.md</w:t>
        <w:br/>
      </w:r>
      <w:r>
        <w:rPr>
          <w:i/>
        </w:rPr>
        <w:t>Generated: 2026-05-03 18:06:21</w:t>
        <w:br/>
      </w:r>
      <w:r>
        <w:rPr>
          <w:i/>
        </w:rPr>
        <w:t>Prometheus Phase 2A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